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35F8" w:rsidRPr="00A369CA" w:rsidRDefault="008435F8" w:rsidP="00BE0844">
      <w:pPr>
        <w:jc w:val="center"/>
        <w:rPr>
          <w:rFonts w:cs="Calibri"/>
          <w:b/>
          <w:smallCaps/>
          <w:color w:val="1F497D"/>
          <w:sz w:val="40"/>
          <w:szCs w:val="64"/>
          <w:lang w:val="en-US"/>
        </w:rPr>
      </w:pPr>
      <w:bookmarkStart w:id="0" w:name="_GoBack"/>
      <w:bookmarkEnd w:id="0"/>
    </w:p>
    <w:p w:rsidR="00BE0844" w:rsidRPr="00624C9B" w:rsidRDefault="00D8145C" w:rsidP="00BE0844">
      <w:pPr>
        <w:jc w:val="center"/>
        <w:rPr>
          <w:rFonts w:cs="Calibri"/>
          <w:b/>
          <w:smallCaps/>
          <w:color w:val="1F497D"/>
          <w:sz w:val="40"/>
          <w:szCs w:val="64"/>
          <w:lang w:val="en-IN"/>
        </w:rPr>
      </w:pPr>
      <w:r w:rsidRPr="00624C9B">
        <w:rPr>
          <w:rFonts w:cs="Calibri"/>
          <w:b/>
          <w:smallCaps/>
          <w:color w:val="1F497D"/>
          <w:sz w:val="40"/>
          <w:szCs w:val="64"/>
          <w:lang w:val="en-IN"/>
        </w:rPr>
        <w:t>BUSINESS PLAN</w:t>
      </w:r>
    </w:p>
    <w:p w:rsidR="00D8145C" w:rsidRPr="00624C9B" w:rsidRDefault="00D8145C" w:rsidP="00BE0844">
      <w:pPr>
        <w:jc w:val="center"/>
        <w:rPr>
          <w:rFonts w:cs="Calibri"/>
          <w:b/>
          <w:smallCaps/>
          <w:color w:val="1F497D"/>
          <w:sz w:val="40"/>
          <w:szCs w:val="64"/>
          <w:lang w:val="en-IN"/>
        </w:rPr>
      </w:pPr>
      <w:r w:rsidRPr="00624C9B">
        <w:rPr>
          <w:rFonts w:cs="Calibri"/>
          <w:b/>
          <w:smallCaps/>
          <w:color w:val="1F497D"/>
          <w:sz w:val="40"/>
          <w:szCs w:val="64"/>
          <w:lang w:val="en-IN"/>
        </w:rPr>
        <w:t xml:space="preserve">for the </w:t>
      </w:r>
    </w:p>
    <w:p w:rsidR="00BE0844" w:rsidRPr="00624C9B" w:rsidRDefault="00D8145C" w:rsidP="00BE0844">
      <w:pPr>
        <w:jc w:val="center"/>
        <w:rPr>
          <w:rFonts w:cs="Calibri"/>
          <w:b/>
          <w:smallCaps/>
          <w:color w:val="1F497D"/>
          <w:sz w:val="40"/>
          <w:szCs w:val="64"/>
          <w:lang w:val="en-IN"/>
        </w:rPr>
      </w:pPr>
      <w:r w:rsidRPr="00624C9B">
        <w:rPr>
          <w:rFonts w:cs="Calibri"/>
          <w:b/>
          <w:smallCaps/>
          <w:color w:val="1F497D"/>
          <w:sz w:val="40"/>
          <w:szCs w:val="64"/>
          <w:lang w:val="en-IN"/>
        </w:rPr>
        <w:t xml:space="preserve">CONTROL PERIOD </w:t>
      </w:r>
      <w:r w:rsidR="00BE0844" w:rsidRPr="00624C9B">
        <w:rPr>
          <w:rFonts w:cs="Calibri"/>
          <w:b/>
          <w:smallCaps/>
          <w:color w:val="1F497D"/>
          <w:sz w:val="40"/>
          <w:szCs w:val="64"/>
          <w:lang w:val="en-IN"/>
        </w:rPr>
        <w:t>FY</w:t>
      </w:r>
      <w:r w:rsidR="00B027E0" w:rsidRPr="00624C9B">
        <w:rPr>
          <w:rFonts w:cs="Calibri"/>
          <w:b/>
          <w:smallCaps/>
          <w:color w:val="1F497D"/>
          <w:sz w:val="40"/>
          <w:szCs w:val="64"/>
          <w:lang w:val="en-IN"/>
        </w:rPr>
        <w:t>2019-20 to FY 2021-22</w:t>
      </w:r>
    </w:p>
    <w:p w:rsidR="00BE0844" w:rsidRPr="00624C9B" w:rsidRDefault="00D8145C" w:rsidP="00BE0844">
      <w:pPr>
        <w:jc w:val="center"/>
        <w:rPr>
          <w:rFonts w:cs="Calibri"/>
          <w:b/>
          <w:smallCaps/>
          <w:color w:val="1F497D"/>
          <w:sz w:val="40"/>
          <w:szCs w:val="64"/>
          <w:lang w:val="en-IN"/>
        </w:rPr>
      </w:pPr>
      <w:r w:rsidRPr="00624C9B">
        <w:rPr>
          <w:rFonts w:cs="Calibri"/>
          <w:b/>
          <w:smallCaps/>
          <w:color w:val="1F497D"/>
          <w:sz w:val="40"/>
          <w:szCs w:val="64"/>
          <w:lang w:val="en-IN"/>
        </w:rPr>
        <w:t>of</w:t>
      </w:r>
    </w:p>
    <w:p w:rsidR="00BE0844" w:rsidRPr="00624C9B" w:rsidRDefault="00BE0844" w:rsidP="00BE0844">
      <w:pPr>
        <w:jc w:val="center"/>
        <w:rPr>
          <w:rFonts w:cs="Calibri"/>
          <w:b/>
          <w:smallCaps/>
          <w:color w:val="1F497D"/>
          <w:sz w:val="40"/>
          <w:szCs w:val="64"/>
          <w:lang w:val="en-IN"/>
        </w:rPr>
      </w:pPr>
      <w:r w:rsidRPr="00624C9B">
        <w:rPr>
          <w:rFonts w:cs="Calibri"/>
          <w:b/>
          <w:smallCaps/>
          <w:color w:val="1F497D"/>
          <w:sz w:val="40"/>
          <w:szCs w:val="64"/>
          <w:lang w:val="en-IN"/>
        </w:rPr>
        <w:t xml:space="preserve">Electricity Department, Government of Puducherry </w:t>
      </w:r>
    </w:p>
    <w:p w:rsidR="00BE0844" w:rsidRPr="00624C9B" w:rsidRDefault="00BE0844" w:rsidP="00BE0844">
      <w:pPr>
        <w:jc w:val="center"/>
        <w:rPr>
          <w:rFonts w:cs="Calibri"/>
          <w:b/>
          <w:smallCaps/>
          <w:color w:val="1F497D"/>
          <w:sz w:val="40"/>
          <w:szCs w:val="64"/>
          <w:lang w:val="en-IN"/>
        </w:rPr>
      </w:pPr>
      <w:r w:rsidRPr="00624C9B">
        <w:rPr>
          <w:rFonts w:cs="Calibri"/>
          <w:b/>
          <w:smallCaps/>
          <w:color w:val="1F497D"/>
          <w:sz w:val="40"/>
          <w:szCs w:val="64"/>
          <w:lang w:val="en-IN"/>
        </w:rPr>
        <w:t xml:space="preserve">Submitted to </w:t>
      </w:r>
    </w:p>
    <w:p w:rsidR="00BE0844" w:rsidRPr="00624C9B" w:rsidRDefault="00BE0844" w:rsidP="00BE0844">
      <w:pPr>
        <w:jc w:val="center"/>
        <w:rPr>
          <w:rFonts w:cs="Calibri"/>
          <w:b/>
          <w:smallCaps/>
          <w:color w:val="1F497D"/>
          <w:sz w:val="40"/>
          <w:szCs w:val="64"/>
          <w:lang w:val="en-IN"/>
        </w:rPr>
      </w:pPr>
      <w:r w:rsidRPr="00624C9B">
        <w:rPr>
          <w:rFonts w:cs="Calibri"/>
          <w:b/>
          <w:smallCaps/>
          <w:color w:val="1F497D"/>
          <w:sz w:val="40"/>
          <w:szCs w:val="64"/>
          <w:lang w:val="en-IN"/>
        </w:rPr>
        <w:t xml:space="preserve">The Hon’ble Joint Electricity Regulatory Commission </w:t>
      </w:r>
    </w:p>
    <w:p w:rsidR="00BE0844" w:rsidRPr="00624C9B" w:rsidRDefault="00BE0844" w:rsidP="00BE0844">
      <w:pPr>
        <w:jc w:val="center"/>
        <w:rPr>
          <w:rFonts w:cs="Calibri"/>
          <w:b/>
          <w:smallCaps/>
          <w:color w:val="1F497D"/>
          <w:sz w:val="40"/>
          <w:szCs w:val="64"/>
          <w:lang w:val="en-IN"/>
        </w:rPr>
      </w:pPr>
      <w:r w:rsidRPr="00624C9B">
        <w:rPr>
          <w:rFonts w:cs="Calibri"/>
          <w:b/>
          <w:smallCaps/>
          <w:color w:val="1F497D"/>
          <w:sz w:val="40"/>
          <w:szCs w:val="64"/>
          <w:lang w:val="en-IN"/>
        </w:rPr>
        <w:t xml:space="preserve">Gurgaon </w:t>
      </w:r>
    </w:p>
    <w:p w:rsidR="008435F8" w:rsidRPr="00624C9B" w:rsidRDefault="008435F8" w:rsidP="00BE0844">
      <w:pPr>
        <w:jc w:val="center"/>
        <w:rPr>
          <w:rFonts w:cs="Calibri"/>
          <w:b/>
          <w:smallCaps/>
          <w:color w:val="1F497D"/>
          <w:sz w:val="40"/>
          <w:szCs w:val="64"/>
          <w:lang w:val="en-IN"/>
        </w:rPr>
      </w:pPr>
    </w:p>
    <w:p w:rsidR="008435F8" w:rsidRPr="00624C9B" w:rsidRDefault="008435F8" w:rsidP="00BE0844">
      <w:pPr>
        <w:jc w:val="center"/>
        <w:rPr>
          <w:rFonts w:cs="Calibri"/>
          <w:b/>
          <w:smallCaps/>
          <w:noProof/>
          <w:color w:val="1F497D"/>
          <w:sz w:val="40"/>
          <w:szCs w:val="64"/>
          <w:lang w:val="en-US" w:bidi="ta-IN"/>
        </w:rPr>
      </w:pPr>
    </w:p>
    <w:p w:rsidR="00DF630C" w:rsidRPr="00624C9B" w:rsidRDefault="00DF630C" w:rsidP="00BE0844">
      <w:pPr>
        <w:jc w:val="center"/>
        <w:rPr>
          <w:rFonts w:cs="Calibri"/>
          <w:b/>
          <w:smallCaps/>
          <w:noProof/>
          <w:color w:val="1F497D"/>
          <w:sz w:val="40"/>
          <w:szCs w:val="64"/>
          <w:lang w:val="en-US" w:bidi="ta-IN"/>
        </w:rPr>
      </w:pPr>
    </w:p>
    <w:p w:rsidR="00DF630C" w:rsidRPr="00624C9B" w:rsidRDefault="00DF630C" w:rsidP="00BE0844">
      <w:pPr>
        <w:jc w:val="center"/>
        <w:rPr>
          <w:rFonts w:cs="Calibri"/>
          <w:b/>
          <w:smallCaps/>
          <w:noProof/>
          <w:color w:val="1F497D"/>
          <w:sz w:val="40"/>
          <w:szCs w:val="64"/>
          <w:lang w:val="en-US" w:bidi="ta-IN"/>
        </w:rPr>
      </w:pPr>
    </w:p>
    <w:p w:rsidR="00DF630C" w:rsidRPr="00624C9B" w:rsidRDefault="00DF630C" w:rsidP="00BE0844">
      <w:pPr>
        <w:jc w:val="center"/>
        <w:rPr>
          <w:rFonts w:cs="Calibri"/>
          <w:b/>
          <w:smallCaps/>
          <w:color w:val="1F497D"/>
          <w:sz w:val="40"/>
          <w:szCs w:val="64"/>
          <w:lang w:val="en-IN"/>
        </w:rPr>
      </w:pPr>
    </w:p>
    <w:p w:rsidR="008435F8" w:rsidRPr="00624C9B" w:rsidRDefault="008435F8" w:rsidP="00BE0844">
      <w:pPr>
        <w:jc w:val="center"/>
        <w:rPr>
          <w:rFonts w:cs="Calibri"/>
          <w:b/>
          <w:smallCaps/>
          <w:color w:val="1F497D"/>
          <w:sz w:val="40"/>
          <w:szCs w:val="64"/>
          <w:lang w:val="en-IN"/>
        </w:rPr>
      </w:pPr>
    </w:p>
    <w:p w:rsidR="00BE0844" w:rsidRPr="00624C9B" w:rsidRDefault="00BE0844" w:rsidP="00BE0844">
      <w:pPr>
        <w:jc w:val="center"/>
        <w:rPr>
          <w:rFonts w:cs="Calibri"/>
          <w:b/>
          <w:smallCaps/>
          <w:color w:val="1F497D"/>
          <w:sz w:val="40"/>
          <w:szCs w:val="64"/>
          <w:lang w:val="en-IN"/>
        </w:rPr>
      </w:pPr>
      <w:r w:rsidRPr="00624C9B">
        <w:rPr>
          <w:rFonts w:cs="Calibri"/>
          <w:b/>
          <w:smallCaps/>
          <w:color w:val="1F497D"/>
          <w:sz w:val="40"/>
          <w:szCs w:val="64"/>
          <w:lang w:val="en-IN"/>
        </w:rPr>
        <w:t xml:space="preserve">By </w:t>
      </w:r>
    </w:p>
    <w:p w:rsidR="006A60FB" w:rsidRPr="00624C9B" w:rsidRDefault="006A60FB" w:rsidP="006A60FB">
      <w:pPr>
        <w:spacing w:line="240" w:lineRule="auto"/>
        <w:jc w:val="center"/>
        <w:rPr>
          <w:rFonts w:cs="Calibri"/>
          <w:b/>
          <w:smallCaps/>
          <w:color w:val="1F497D"/>
          <w:sz w:val="18"/>
          <w:szCs w:val="18"/>
          <w:vertAlign w:val="superscript"/>
          <w:lang w:val="en-IN"/>
        </w:rPr>
      </w:pPr>
    </w:p>
    <w:p w:rsidR="008435F8" w:rsidRPr="00624C9B" w:rsidRDefault="008435F8" w:rsidP="006A60FB">
      <w:pPr>
        <w:jc w:val="center"/>
        <w:rPr>
          <w:rFonts w:cs="Calibri"/>
          <w:b/>
          <w:smallCaps/>
          <w:color w:val="1F497D"/>
          <w:sz w:val="40"/>
          <w:szCs w:val="64"/>
          <w:lang w:val="en-IN"/>
        </w:rPr>
      </w:pPr>
    </w:p>
    <w:p w:rsidR="00971145" w:rsidRPr="00624C9B" w:rsidRDefault="00BE0844" w:rsidP="00BE0844">
      <w:pPr>
        <w:jc w:val="center"/>
        <w:rPr>
          <w:rFonts w:cs="Calibri"/>
          <w:b/>
          <w:smallCaps/>
          <w:color w:val="1F497D"/>
          <w:sz w:val="40"/>
          <w:szCs w:val="64"/>
          <w:lang w:val="en-IN"/>
        </w:rPr>
      </w:pPr>
      <w:r w:rsidRPr="00624C9B">
        <w:rPr>
          <w:rFonts w:cs="Calibri"/>
          <w:b/>
          <w:smallCaps/>
          <w:color w:val="1F497D"/>
          <w:sz w:val="40"/>
          <w:szCs w:val="64"/>
          <w:lang w:val="en-IN"/>
        </w:rPr>
        <w:t>Electricity Department, Government of Puducherry</w:t>
      </w:r>
    </w:p>
    <w:p w:rsidR="00971145" w:rsidRPr="00624C9B" w:rsidRDefault="00971145" w:rsidP="00BE0844">
      <w:pPr>
        <w:jc w:val="center"/>
        <w:rPr>
          <w:rFonts w:cs="Calibri"/>
          <w:b/>
          <w:smallCaps/>
          <w:color w:val="1F497D"/>
          <w:sz w:val="20"/>
          <w:szCs w:val="20"/>
          <w:lang w:val="en-IN"/>
        </w:rPr>
      </w:pPr>
    </w:p>
    <w:p w:rsidR="00A76228" w:rsidRPr="00624C9B" w:rsidRDefault="003B3CFF" w:rsidP="00D8145C">
      <w:pPr>
        <w:jc w:val="center"/>
        <w:rPr>
          <w:rFonts w:cs="Calibri"/>
          <w:b/>
          <w:smallCaps/>
          <w:color w:val="1F497D"/>
          <w:sz w:val="40"/>
          <w:szCs w:val="64"/>
          <w:lang w:val="en-IN"/>
        </w:rPr>
      </w:pPr>
      <w:r>
        <w:rPr>
          <w:rFonts w:cs="Calibri"/>
          <w:b/>
          <w:smallCaps/>
          <w:color w:val="1F497D"/>
          <w:sz w:val="40"/>
          <w:szCs w:val="64"/>
          <w:lang w:val="en-IN"/>
        </w:rPr>
        <w:t>AUGUST-</w:t>
      </w:r>
      <w:r w:rsidR="00971145" w:rsidRPr="00624C9B">
        <w:rPr>
          <w:rFonts w:cs="Calibri"/>
          <w:b/>
          <w:smallCaps/>
          <w:color w:val="1F497D"/>
          <w:sz w:val="40"/>
          <w:szCs w:val="64"/>
          <w:lang w:val="en-IN"/>
        </w:rPr>
        <w:t xml:space="preserve"> 201</w:t>
      </w:r>
      <w:r w:rsidR="00B027E0" w:rsidRPr="00624C9B">
        <w:rPr>
          <w:rFonts w:cs="Calibri"/>
          <w:b/>
          <w:smallCaps/>
          <w:color w:val="1F497D"/>
          <w:sz w:val="40"/>
          <w:szCs w:val="64"/>
          <w:lang w:val="en-IN"/>
        </w:rPr>
        <w:t>8</w:t>
      </w:r>
      <w:r w:rsidR="009F2CB3" w:rsidRPr="00132C0A">
        <w:br w:type="page"/>
      </w:r>
    </w:p>
    <w:p w:rsidR="009B09DE" w:rsidRPr="00132C0A" w:rsidRDefault="009B09DE" w:rsidP="008D5E2B">
      <w:pPr>
        <w:jc w:val="center"/>
        <w:sectPr w:rsidR="009B09DE" w:rsidRPr="00132C0A" w:rsidSect="00C412F5">
          <w:headerReference w:type="default" r:id="rId8"/>
          <w:footerReference w:type="default" r:id="rId9"/>
          <w:pgSz w:w="11909" w:h="16834" w:code="9"/>
          <w:pgMar w:top="1440" w:right="1440" w:bottom="1440" w:left="1800" w:header="720" w:footer="720" w:gutter="0"/>
          <w:pgNumType w:start="1"/>
          <w:cols w:space="720"/>
          <w:docGrid w:linePitch="360"/>
        </w:sectPr>
      </w:pPr>
    </w:p>
    <w:p w:rsidR="009508A8" w:rsidRPr="00F47C21" w:rsidRDefault="00386D7D" w:rsidP="00F47C21">
      <w:pPr>
        <w:pStyle w:val="EDNormal"/>
        <w:jc w:val="center"/>
        <w:rPr>
          <w:b/>
        </w:rPr>
      </w:pPr>
      <w:r w:rsidRPr="00F47C21">
        <w:rPr>
          <w:b/>
        </w:rPr>
        <w:lastRenderedPageBreak/>
        <w:t>BEFORE THE JOINT ELECTRICITY REGULATORY COMMISSION FOR THE STATE OF GOA, &amp; UNION TERRITORIES, GURGAON</w:t>
      </w:r>
    </w:p>
    <w:p w:rsidR="00487086" w:rsidRPr="00132C0A" w:rsidRDefault="00487086" w:rsidP="006023DB">
      <w:pPr>
        <w:jc w:val="right"/>
      </w:pPr>
    </w:p>
    <w:p w:rsidR="006023DB" w:rsidRPr="00132C0A" w:rsidRDefault="006023DB" w:rsidP="006023DB">
      <w:pPr>
        <w:jc w:val="right"/>
      </w:pPr>
      <w:r w:rsidRPr="00132C0A">
        <w:t>Filing No…………</w:t>
      </w:r>
    </w:p>
    <w:p w:rsidR="006023DB" w:rsidRPr="00132C0A" w:rsidRDefault="006023DB" w:rsidP="006023DB"/>
    <w:p w:rsidR="006023DB" w:rsidRPr="00132C0A" w:rsidRDefault="006023DB" w:rsidP="006023DB">
      <w:pPr>
        <w:jc w:val="right"/>
      </w:pPr>
      <w:r w:rsidRPr="00132C0A">
        <w:tab/>
        <w:t xml:space="preserve">                  Case No…………</w:t>
      </w:r>
    </w:p>
    <w:p w:rsidR="006023DB" w:rsidRDefault="006023DB" w:rsidP="006023DB"/>
    <w:p w:rsidR="00BE0844" w:rsidRDefault="00BE0844" w:rsidP="006023DB"/>
    <w:p w:rsidR="008C44F1" w:rsidRDefault="008C44F1" w:rsidP="008C44F1">
      <w:pPr>
        <w:ind w:left="2160" w:hanging="2160"/>
      </w:pPr>
      <w:r w:rsidRPr="0023305C">
        <w:rPr>
          <w:b/>
          <w:bCs/>
        </w:rPr>
        <w:t>IN THE MATTER OF</w:t>
      </w:r>
      <w:r>
        <w:t xml:space="preserve">: </w:t>
      </w:r>
      <w:r>
        <w:tab/>
        <w:t xml:space="preserve">Petition for approval of the Business Plan for control period from </w:t>
      </w:r>
      <w:r w:rsidR="00253394">
        <w:t>FY 2019-20 to FY 2021-22</w:t>
      </w:r>
      <w:r>
        <w:t xml:space="preserve"> for the Electricity Department of Puducherry </w:t>
      </w:r>
      <w:r w:rsidRPr="00CB7195">
        <w:t xml:space="preserve">as per </w:t>
      </w:r>
      <w:r w:rsidR="00216125">
        <w:t>Regulation 8</w:t>
      </w:r>
      <w:r w:rsidR="003B3CFF">
        <w:t>.1</w:t>
      </w:r>
      <w:r w:rsidR="00216125">
        <w:t xml:space="preserve"> and 16 of JERC (Generation, Transmission &amp; Distribution Multi Year Tariff) Regulations, 2018.</w:t>
      </w:r>
    </w:p>
    <w:p w:rsidR="008C44F1" w:rsidRDefault="008C44F1" w:rsidP="008C44F1"/>
    <w:p w:rsidR="008C44F1" w:rsidRDefault="008C44F1" w:rsidP="008C44F1"/>
    <w:p w:rsidR="008C44F1" w:rsidRPr="0023305C" w:rsidRDefault="008C44F1" w:rsidP="0023305C">
      <w:pPr>
        <w:jc w:val="center"/>
        <w:rPr>
          <w:b/>
          <w:bCs/>
        </w:rPr>
      </w:pPr>
      <w:r w:rsidRPr="0023305C">
        <w:rPr>
          <w:b/>
          <w:bCs/>
        </w:rPr>
        <w:t>AND</w:t>
      </w:r>
    </w:p>
    <w:p w:rsidR="008C44F1" w:rsidRDefault="008C44F1" w:rsidP="008C44F1"/>
    <w:p w:rsidR="008C44F1" w:rsidRDefault="008C44F1" w:rsidP="008C44F1"/>
    <w:p w:rsidR="008C44F1" w:rsidRDefault="008C44F1" w:rsidP="008C44F1">
      <w:r w:rsidRPr="0023305C">
        <w:rPr>
          <w:b/>
          <w:bCs/>
        </w:rPr>
        <w:t>IN THE MATTER OF:</w:t>
      </w:r>
      <w:r>
        <w:tab/>
        <w:t>Electricity Department, Government of Puducherry</w:t>
      </w:r>
    </w:p>
    <w:p w:rsidR="008C44F1" w:rsidRDefault="008C44F1" w:rsidP="008C44F1">
      <w:pPr>
        <w:ind w:left="7200"/>
      </w:pPr>
    </w:p>
    <w:p w:rsidR="008C44F1" w:rsidRDefault="008C44F1" w:rsidP="008C44F1">
      <w:pPr>
        <w:ind w:left="7200"/>
      </w:pPr>
      <w:r>
        <w:t>...........Petitioner</w:t>
      </w:r>
    </w:p>
    <w:p w:rsidR="008C44F1" w:rsidRDefault="008C44F1" w:rsidP="008C44F1"/>
    <w:p w:rsidR="008C44F1" w:rsidRDefault="008C44F1" w:rsidP="008C44F1"/>
    <w:p w:rsidR="008C44F1" w:rsidRDefault="008C44F1" w:rsidP="008C44F1">
      <w:r>
        <w:t xml:space="preserve">Electricity Department, Government of Puducherry (hereinafter referred to as "PED"), files petition for approval of </w:t>
      </w:r>
      <w:r w:rsidR="00253394">
        <w:t>the Business Plan for FY 2019-20 to FY 2021-22</w:t>
      </w:r>
      <w:r>
        <w:t xml:space="preserve"> as per </w:t>
      </w:r>
      <w:r w:rsidR="00216125">
        <w:t>Regulation 8</w:t>
      </w:r>
      <w:r w:rsidR="008100D8">
        <w:t>.1</w:t>
      </w:r>
      <w:r w:rsidR="00216125">
        <w:t xml:space="preserve"> and 16 of JERC (Generation, Transmission &amp; Distribution Multi Year Tariff) Regulations, 2018</w:t>
      </w:r>
      <w:r>
        <w:t xml:space="preserve">. </w:t>
      </w:r>
    </w:p>
    <w:p w:rsidR="008C44F1" w:rsidRDefault="008C44F1" w:rsidP="008C44F1"/>
    <w:p w:rsidR="008C44F1" w:rsidRDefault="008C44F1" w:rsidP="008C44F1"/>
    <w:p w:rsidR="008C44F1" w:rsidRPr="00CB7195" w:rsidRDefault="008C44F1" w:rsidP="008C44F1">
      <w:pPr>
        <w:rPr>
          <w:b/>
        </w:rPr>
      </w:pPr>
      <w:r w:rsidRPr="00CB7195">
        <w:rPr>
          <w:b/>
        </w:rPr>
        <w:t>Electrici</w:t>
      </w:r>
      <w:r>
        <w:rPr>
          <w:b/>
        </w:rPr>
        <w:t>ty Department, Government of Puducherry</w:t>
      </w:r>
    </w:p>
    <w:p w:rsidR="008C44F1" w:rsidRPr="00CB7195" w:rsidRDefault="008C44F1" w:rsidP="008C44F1">
      <w:pPr>
        <w:rPr>
          <w:b/>
        </w:rPr>
      </w:pPr>
      <w:r w:rsidRPr="00CB7195">
        <w:rPr>
          <w:b/>
        </w:rPr>
        <w:t>Petitioner</w:t>
      </w:r>
    </w:p>
    <w:p w:rsidR="008C44F1" w:rsidRDefault="008C44F1" w:rsidP="008C44F1"/>
    <w:p w:rsidR="008C44F1" w:rsidRDefault="008C44F1" w:rsidP="008C44F1"/>
    <w:p w:rsidR="008C44F1" w:rsidRDefault="008C44F1" w:rsidP="008C44F1"/>
    <w:p w:rsidR="008C44F1" w:rsidRDefault="008C44F1" w:rsidP="008C44F1">
      <w:r>
        <w:t>Place: Puducherry</w:t>
      </w:r>
    </w:p>
    <w:p w:rsidR="008C44F1" w:rsidRDefault="00253394" w:rsidP="008C44F1">
      <w:r>
        <w:t xml:space="preserve">Dated: </w:t>
      </w:r>
      <w:r w:rsidRPr="00D36FCA">
        <w:t>31</w:t>
      </w:r>
      <w:r w:rsidRPr="00D36FCA">
        <w:rPr>
          <w:vertAlign w:val="superscript"/>
        </w:rPr>
        <w:t>st</w:t>
      </w:r>
      <w:r w:rsidR="00D36FCA" w:rsidRPr="00D36FCA">
        <w:t xml:space="preserve"> August</w:t>
      </w:r>
      <w:r w:rsidRPr="00D36FCA">
        <w:t xml:space="preserve"> 2018</w:t>
      </w:r>
    </w:p>
    <w:p w:rsidR="00BE0844" w:rsidRDefault="00BE0844" w:rsidP="006023DB"/>
    <w:p w:rsidR="0023305C" w:rsidRDefault="0023305C" w:rsidP="006023DB"/>
    <w:p w:rsidR="0023305C" w:rsidRDefault="0023305C" w:rsidP="006023DB"/>
    <w:p w:rsidR="0023305C" w:rsidRDefault="0023305C" w:rsidP="006023DB"/>
    <w:p w:rsidR="00BE0844" w:rsidRDefault="00BE0844" w:rsidP="006023DB"/>
    <w:p w:rsidR="00BE0844" w:rsidRDefault="00BE0844" w:rsidP="006023DB"/>
    <w:p w:rsidR="00CB501E" w:rsidRDefault="00CB501E" w:rsidP="008B64E2">
      <w:pPr>
        <w:jc w:val="center"/>
        <w:rPr>
          <w:b/>
        </w:rPr>
      </w:pPr>
      <w:r w:rsidRPr="00132C0A">
        <w:rPr>
          <w:b/>
        </w:rPr>
        <w:t>TABLE OF CONTENTS</w:t>
      </w:r>
    </w:p>
    <w:p w:rsidR="00246492" w:rsidRDefault="00246492" w:rsidP="008B64E2">
      <w:pPr>
        <w:jc w:val="center"/>
        <w:rPr>
          <w:b/>
        </w:rPr>
      </w:pPr>
    </w:p>
    <w:p w:rsidR="006A7E48" w:rsidRDefault="00140E1B">
      <w:pPr>
        <w:pStyle w:val="TOC1"/>
        <w:rPr>
          <w:rFonts w:asciiTheme="minorHAnsi" w:eastAsiaTheme="minorEastAsia" w:hAnsiTheme="minorHAnsi" w:cstheme="minorBidi"/>
          <w:b w:val="0"/>
          <w:bCs w:val="0"/>
          <w:caps w:val="0"/>
          <w:sz w:val="22"/>
          <w:szCs w:val="22"/>
          <w:lang w:val="en-IN" w:eastAsia="en-IN"/>
        </w:rPr>
      </w:pPr>
      <w:r w:rsidRPr="00140E1B">
        <w:rPr>
          <w:rFonts w:asciiTheme="minorHAnsi" w:hAnsiTheme="minorHAnsi" w:cstheme="minorHAnsi"/>
        </w:rPr>
        <w:fldChar w:fldCharType="begin"/>
      </w:r>
      <w:r w:rsidR="006A09D5" w:rsidRPr="00F3008E">
        <w:rPr>
          <w:rFonts w:asciiTheme="minorHAnsi" w:hAnsiTheme="minorHAnsi" w:cstheme="minorHAnsi"/>
        </w:rPr>
        <w:instrText xml:space="preserve"> TOC \o "1-2" \h \z \u </w:instrText>
      </w:r>
      <w:r w:rsidRPr="00140E1B">
        <w:rPr>
          <w:rFonts w:asciiTheme="minorHAnsi" w:hAnsiTheme="minorHAnsi" w:cstheme="minorHAnsi"/>
        </w:rPr>
        <w:fldChar w:fldCharType="separate"/>
      </w:r>
      <w:hyperlink w:anchor="_Toc523724463" w:history="1">
        <w:r w:rsidR="006A7E48" w:rsidRPr="00C458EF">
          <w:rPr>
            <w:rStyle w:val="Hyperlink"/>
            <w:rFonts w:cs="Calibri"/>
          </w:rPr>
          <w:t>1.</w:t>
        </w:r>
        <w:r w:rsidR="006A7E48">
          <w:rPr>
            <w:rFonts w:asciiTheme="minorHAnsi" w:eastAsiaTheme="minorEastAsia" w:hAnsiTheme="minorHAnsi" w:cstheme="minorBidi"/>
            <w:b w:val="0"/>
            <w:bCs w:val="0"/>
            <w:caps w:val="0"/>
            <w:sz w:val="22"/>
            <w:szCs w:val="22"/>
            <w:lang w:val="en-IN" w:eastAsia="en-IN"/>
          </w:rPr>
          <w:tab/>
        </w:r>
        <w:r w:rsidR="006A7E48" w:rsidRPr="00C458EF">
          <w:rPr>
            <w:rStyle w:val="Hyperlink"/>
          </w:rPr>
          <w:t>Introduction</w:t>
        </w:r>
        <w:r w:rsidR="006A7E48">
          <w:rPr>
            <w:webHidden/>
          </w:rPr>
          <w:tab/>
        </w:r>
        <w:r>
          <w:rPr>
            <w:webHidden/>
          </w:rPr>
          <w:fldChar w:fldCharType="begin"/>
        </w:r>
        <w:r w:rsidR="006A7E48">
          <w:rPr>
            <w:webHidden/>
          </w:rPr>
          <w:instrText xml:space="preserve"> PAGEREF _Toc523724463 \h </w:instrText>
        </w:r>
        <w:r>
          <w:rPr>
            <w:webHidden/>
          </w:rPr>
        </w:r>
        <w:r>
          <w:rPr>
            <w:webHidden/>
          </w:rPr>
          <w:fldChar w:fldCharType="separate"/>
        </w:r>
        <w:r w:rsidR="004B7EE5">
          <w:rPr>
            <w:webHidden/>
          </w:rPr>
          <w:t>1</w:t>
        </w:r>
        <w:r>
          <w:rPr>
            <w:webHidden/>
          </w:rPr>
          <w:fldChar w:fldCharType="end"/>
        </w:r>
      </w:hyperlink>
    </w:p>
    <w:p w:rsidR="006A7E48" w:rsidRDefault="00140E1B">
      <w:pPr>
        <w:pStyle w:val="TOC2"/>
        <w:rPr>
          <w:rFonts w:asciiTheme="minorHAnsi" w:eastAsiaTheme="minorEastAsia" w:hAnsiTheme="minorHAnsi" w:cstheme="minorBidi"/>
          <w:smallCaps w:val="0"/>
          <w:sz w:val="22"/>
          <w:szCs w:val="22"/>
          <w:lang w:val="en-IN" w:eastAsia="en-IN"/>
        </w:rPr>
      </w:pPr>
      <w:hyperlink w:anchor="_Toc523724464" w:history="1">
        <w:r w:rsidR="006A7E48" w:rsidRPr="00C458EF">
          <w:rPr>
            <w:rStyle w:val="Hyperlink"/>
            <w:rFonts w:cs="Calibri"/>
            <w:snapToGrid w:val="0"/>
            <w:w w:val="0"/>
          </w:rPr>
          <w:t>1.1</w:t>
        </w:r>
        <w:r w:rsidR="006A7E48">
          <w:rPr>
            <w:rFonts w:asciiTheme="minorHAnsi" w:eastAsiaTheme="minorEastAsia" w:hAnsiTheme="minorHAnsi" w:cstheme="minorBidi"/>
            <w:smallCaps w:val="0"/>
            <w:sz w:val="22"/>
            <w:szCs w:val="22"/>
            <w:lang w:val="en-IN" w:eastAsia="en-IN"/>
          </w:rPr>
          <w:tab/>
        </w:r>
        <w:r w:rsidR="006A7E48" w:rsidRPr="00C458EF">
          <w:rPr>
            <w:rStyle w:val="Hyperlink"/>
          </w:rPr>
          <w:t>Background</w:t>
        </w:r>
        <w:r w:rsidR="006A7E48">
          <w:rPr>
            <w:webHidden/>
          </w:rPr>
          <w:tab/>
        </w:r>
        <w:r>
          <w:rPr>
            <w:webHidden/>
          </w:rPr>
          <w:fldChar w:fldCharType="begin"/>
        </w:r>
        <w:r w:rsidR="006A7E48">
          <w:rPr>
            <w:webHidden/>
          </w:rPr>
          <w:instrText xml:space="preserve"> PAGEREF _Toc523724464 \h </w:instrText>
        </w:r>
        <w:r>
          <w:rPr>
            <w:webHidden/>
          </w:rPr>
        </w:r>
        <w:r>
          <w:rPr>
            <w:webHidden/>
          </w:rPr>
          <w:fldChar w:fldCharType="separate"/>
        </w:r>
        <w:r w:rsidR="004B7EE5">
          <w:rPr>
            <w:webHidden/>
          </w:rPr>
          <w:t>1</w:t>
        </w:r>
        <w:r>
          <w:rPr>
            <w:webHidden/>
          </w:rPr>
          <w:fldChar w:fldCharType="end"/>
        </w:r>
      </w:hyperlink>
    </w:p>
    <w:p w:rsidR="006A7E48" w:rsidRDefault="00140E1B">
      <w:pPr>
        <w:pStyle w:val="TOC2"/>
        <w:rPr>
          <w:rFonts w:asciiTheme="minorHAnsi" w:eastAsiaTheme="minorEastAsia" w:hAnsiTheme="minorHAnsi" w:cstheme="minorBidi"/>
          <w:smallCaps w:val="0"/>
          <w:sz w:val="22"/>
          <w:szCs w:val="22"/>
          <w:lang w:val="en-IN" w:eastAsia="en-IN"/>
        </w:rPr>
      </w:pPr>
      <w:hyperlink w:anchor="_Toc523724465" w:history="1">
        <w:r w:rsidR="006A7E48" w:rsidRPr="00C458EF">
          <w:rPr>
            <w:rStyle w:val="Hyperlink"/>
            <w:rFonts w:cs="Calibri"/>
            <w:snapToGrid w:val="0"/>
            <w:w w:val="0"/>
          </w:rPr>
          <w:t>1.2</w:t>
        </w:r>
        <w:r w:rsidR="006A7E48">
          <w:rPr>
            <w:rFonts w:asciiTheme="minorHAnsi" w:eastAsiaTheme="minorEastAsia" w:hAnsiTheme="minorHAnsi" w:cstheme="minorBidi"/>
            <w:smallCaps w:val="0"/>
            <w:sz w:val="22"/>
            <w:szCs w:val="22"/>
            <w:lang w:val="en-IN" w:eastAsia="en-IN"/>
          </w:rPr>
          <w:tab/>
        </w:r>
        <w:r w:rsidR="006A7E48" w:rsidRPr="00C458EF">
          <w:rPr>
            <w:rStyle w:val="Hyperlink"/>
          </w:rPr>
          <w:t>Business Activities</w:t>
        </w:r>
        <w:r w:rsidR="006A7E48">
          <w:rPr>
            <w:webHidden/>
          </w:rPr>
          <w:tab/>
        </w:r>
        <w:r>
          <w:rPr>
            <w:webHidden/>
          </w:rPr>
          <w:fldChar w:fldCharType="begin"/>
        </w:r>
        <w:r w:rsidR="006A7E48">
          <w:rPr>
            <w:webHidden/>
          </w:rPr>
          <w:instrText xml:space="preserve"> PAGEREF _Toc523724465 \h </w:instrText>
        </w:r>
        <w:r>
          <w:rPr>
            <w:webHidden/>
          </w:rPr>
        </w:r>
        <w:r>
          <w:rPr>
            <w:webHidden/>
          </w:rPr>
          <w:fldChar w:fldCharType="separate"/>
        </w:r>
        <w:r w:rsidR="004B7EE5">
          <w:rPr>
            <w:webHidden/>
          </w:rPr>
          <w:t>2</w:t>
        </w:r>
        <w:r>
          <w:rPr>
            <w:webHidden/>
          </w:rPr>
          <w:fldChar w:fldCharType="end"/>
        </w:r>
      </w:hyperlink>
    </w:p>
    <w:p w:rsidR="006A7E48" w:rsidRDefault="00140E1B">
      <w:pPr>
        <w:pStyle w:val="TOC2"/>
        <w:rPr>
          <w:rFonts w:asciiTheme="minorHAnsi" w:eastAsiaTheme="minorEastAsia" w:hAnsiTheme="minorHAnsi" w:cstheme="minorBidi"/>
          <w:smallCaps w:val="0"/>
          <w:sz w:val="22"/>
          <w:szCs w:val="22"/>
          <w:lang w:val="en-IN" w:eastAsia="en-IN"/>
        </w:rPr>
      </w:pPr>
      <w:hyperlink w:anchor="_Toc523724466" w:history="1">
        <w:r w:rsidR="006A7E48" w:rsidRPr="00C458EF">
          <w:rPr>
            <w:rStyle w:val="Hyperlink"/>
            <w:rFonts w:cs="Calibri"/>
            <w:snapToGrid w:val="0"/>
            <w:w w:val="0"/>
          </w:rPr>
          <w:t>1.3</w:t>
        </w:r>
        <w:r w:rsidR="006A7E48">
          <w:rPr>
            <w:rFonts w:asciiTheme="minorHAnsi" w:eastAsiaTheme="minorEastAsia" w:hAnsiTheme="minorHAnsi" w:cstheme="minorBidi"/>
            <w:smallCaps w:val="0"/>
            <w:sz w:val="22"/>
            <w:szCs w:val="22"/>
            <w:lang w:val="en-IN" w:eastAsia="en-IN"/>
          </w:rPr>
          <w:tab/>
        </w:r>
        <w:r w:rsidR="006A7E48" w:rsidRPr="00C458EF">
          <w:rPr>
            <w:rStyle w:val="Hyperlink"/>
          </w:rPr>
          <w:t>Objective of Business Plan</w:t>
        </w:r>
        <w:r w:rsidR="006A7E48">
          <w:rPr>
            <w:webHidden/>
          </w:rPr>
          <w:tab/>
        </w:r>
        <w:r>
          <w:rPr>
            <w:webHidden/>
          </w:rPr>
          <w:fldChar w:fldCharType="begin"/>
        </w:r>
        <w:r w:rsidR="006A7E48">
          <w:rPr>
            <w:webHidden/>
          </w:rPr>
          <w:instrText xml:space="preserve"> PAGEREF _Toc523724466 \h </w:instrText>
        </w:r>
        <w:r>
          <w:rPr>
            <w:webHidden/>
          </w:rPr>
        </w:r>
        <w:r>
          <w:rPr>
            <w:webHidden/>
          </w:rPr>
          <w:fldChar w:fldCharType="separate"/>
        </w:r>
        <w:r w:rsidR="004B7EE5">
          <w:rPr>
            <w:webHidden/>
          </w:rPr>
          <w:t>3</w:t>
        </w:r>
        <w:r>
          <w:rPr>
            <w:webHidden/>
          </w:rPr>
          <w:fldChar w:fldCharType="end"/>
        </w:r>
      </w:hyperlink>
    </w:p>
    <w:p w:rsidR="006A7E48" w:rsidRDefault="00140E1B">
      <w:pPr>
        <w:pStyle w:val="TOC2"/>
        <w:rPr>
          <w:rFonts w:asciiTheme="minorHAnsi" w:eastAsiaTheme="minorEastAsia" w:hAnsiTheme="minorHAnsi" w:cstheme="minorBidi"/>
          <w:smallCaps w:val="0"/>
          <w:sz w:val="22"/>
          <w:szCs w:val="22"/>
          <w:lang w:val="en-IN" w:eastAsia="en-IN"/>
        </w:rPr>
      </w:pPr>
      <w:hyperlink w:anchor="_Toc523724467" w:history="1">
        <w:r w:rsidR="006A7E48" w:rsidRPr="00C458EF">
          <w:rPr>
            <w:rStyle w:val="Hyperlink"/>
            <w:rFonts w:cs="Calibri"/>
            <w:snapToGrid w:val="0"/>
            <w:w w:val="0"/>
          </w:rPr>
          <w:t>1.4</w:t>
        </w:r>
        <w:r w:rsidR="006A7E48">
          <w:rPr>
            <w:rFonts w:asciiTheme="minorHAnsi" w:eastAsiaTheme="minorEastAsia" w:hAnsiTheme="minorHAnsi" w:cstheme="minorBidi"/>
            <w:smallCaps w:val="0"/>
            <w:sz w:val="22"/>
            <w:szCs w:val="22"/>
            <w:lang w:val="en-IN" w:eastAsia="en-IN"/>
          </w:rPr>
          <w:tab/>
        </w:r>
        <w:r w:rsidR="006A7E48" w:rsidRPr="00C458EF">
          <w:rPr>
            <w:rStyle w:val="Hyperlink"/>
          </w:rPr>
          <w:t>Approach to Business Plan</w:t>
        </w:r>
        <w:r w:rsidR="006A7E48">
          <w:rPr>
            <w:webHidden/>
          </w:rPr>
          <w:tab/>
        </w:r>
        <w:r>
          <w:rPr>
            <w:webHidden/>
          </w:rPr>
          <w:fldChar w:fldCharType="begin"/>
        </w:r>
        <w:r w:rsidR="006A7E48">
          <w:rPr>
            <w:webHidden/>
          </w:rPr>
          <w:instrText xml:space="preserve"> PAGEREF _Toc523724467 \h </w:instrText>
        </w:r>
        <w:r>
          <w:rPr>
            <w:webHidden/>
          </w:rPr>
        </w:r>
        <w:r>
          <w:rPr>
            <w:webHidden/>
          </w:rPr>
          <w:fldChar w:fldCharType="separate"/>
        </w:r>
        <w:r w:rsidR="004B7EE5">
          <w:rPr>
            <w:webHidden/>
          </w:rPr>
          <w:t>5</w:t>
        </w:r>
        <w:r>
          <w:rPr>
            <w:webHidden/>
          </w:rPr>
          <w:fldChar w:fldCharType="end"/>
        </w:r>
      </w:hyperlink>
    </w:p>
    <w:p w:rsidR="006A7E48" w:rsidRDefault="00140E1B">
      <w:pPr>
        <w:pStyle w:val="TOC2"/>
        <w:rPr>
          <w:rFonts w:asciiTheme="minorHAnsi" w:eastAsiaTheme="minorEastAsia" w:hAnsiTheme="minorHAnsi" w:cstheme="minorBidi"/>
          <w:smallCaps w:val="0"/>
          <w:sz w:val="22"/>
          <w:szCs w:val="22"/>
          <w:lang w:val="en-IN" w:eastAsia="en-IN"/>
        </w:rPr>
      </w:pPr>
      <w:hyperlink w:anchor="_Toc523724468" w:history="1">
        <w:r w:rsidR="006A7E48" w:rsidRPr="00C458EF">
          <w:rPr>
            <w:rStyle w:val="Hyperlink"/>
            <w:rFonts w:cs="Calibri"/>
            <w:snapToGrid w:val="0"/>
            <w:w w:val="0"/>
          </w:rPr>
          <w:t>1.5</w:t>
        </w:r>
        <w:r w:rsidR="006A7E48">
          <w:rPr>
            <w:rFonts w:asciiTheme="minorHAnsi" w:eastAsiaTheme="minorEastAsia" w:hAnsiTheme="minorHAnsi" w:cstheme="minorBidi"/>
            <w:smallCaps w:val="0"/>
            <w:sz w:val="22"/>
            <w:szCs w:val="22"/>
            <w:lang w:val="en-IN" w:eastAsia="en-IN"/>
          </w:rPr>
          <w:tab/>
        </w:r>
        <w:r w:rsidR="006A7E48" w:rsidRPr="00C458EF">
          <w:rPr>
            <w:rStyle w:val="Hyperlink"/>
          </w:rPr>
          <w:t>Review of previous control period</w:t>
        </w:r>
        <w:r w:rsidR="006A7E48">
          <w:rPr>
            <w:webHidden/>
          </w:rPr>
          <w:tab/>
        </w:r>
        <w:r>
          <w:rPr>
            <w:webHidden/>
          </w:rPr>
          <w:fldChar w:fldCharType="begin"/>
        </w:r>
        <w:r w:rsidR="006A7E48">
          <w:rPr>
            <w:webHidden/>
          </w:rPr>
          <w:instrText xml:space="preserve"> PAGEREF _Toc523724468 \h </w:instrText>
        </w:r>
        <w:r>
          <w:rPr>
            <w:webHidden/>
          </w:rPr>
        </w:r>
        <w:r>
          <w:rPr>
            <w:webHidden/>
          </w:rPr>
          <w:fldChar w:fldCharType="separate"/>
        </w:r>
        <w:r w:rsidR="004B7EE5">
          <w:rPr>
            <w:webHidden/>
          </w:rPr>
          <w:t>6</w:t>
        </w:r>
        <w:r>
          <w:rPr>
            <w:webHidden/>
          </w:rPr>
          <w:fldChar w:fldCharType="end"/>
        </w:r>
      </w:hyperlink>
    </w:p>
    <w:p w:rsidR="006A7E48" w:rsidRDefault="00140E1B">
      <w:pPr>
        <w:pStyle w:val="TOC1"/>
        <w:rPr>
          <w:rFonts w:asciiTheme="minorHAnsi" w:eastAsiaTheme="minorEastAsia" w:hAnsiTheme="minorHAnsi" w:cstheme="minorBidi"/>
          <w:b w:val="0"/>
          <w:bCs w:val="0"/>
          <w:caps w:val="0"/>
          <w:sz w:val="22"/>
          <w:szCs w:val="22"/>
          <w:lang w:val="en-IN" w:eastAsia="en-IN"/>
        </w:rPr>
      </w:pPr>
      <w:hyperlink w:anchor="_Toc523724469" w:history="1">
        <w:r w:rsidR="006A7E48" w:rsidRPr="00C458EF">
          <w:rPr>
            <w:rStyle w:val="Hyperlink"/>
            <w:rFonts w:cs="Calibri"/>
          </w:rPr>
          <w:t>2.</w:t>
        </w:r>
        <w:r w:rsidR="006A7E48">
          <w:rPr>
            <w:rFonts w:asciiTheme="minorHAnsi" w:eastAsiaTheme="minorEastAsia" w:hAnsiTheme="minorHAnsi" w:cstheme="minorBidi"/>
            <w:b w:val="0"/>
            <w:bCs w:val="0"/>
            <w:caps w:val="0"/>
            <w:sz w:val="22"/>
            <w:szCs w:val="22"/>
            <w:lang w:val="en-IN" w:eastAsia="en-IN"/>
          </w:rPr>
          <w:tab/>
        </w:r>
        <w:r w:rsidR="006A7E48" w:rsidRPr="00C458EF">
          <w:rPr>
            <w:rStyle w:val="Hyperlink"/>
          </w:rPr>
          <w:t>PED: POWER BUSINESS IN PUDUCHERRY</w:t>
        </w:r>
        <w:r w:rsidR="006A7E48">
          <w:rPr>
            <w:webHidden/>
          </w:rPr>
          <w:tab/>
        </w:r>
        <w:r>
          <w:rPr>
            <w:webHidden/>
          </w:rPr>
          <w:fldChar w:fldCharType="begin"/>
        </w:r>
        <w:r w:rsidR="006A7E48">
          <w:rPr>
            <w:webHidden/>
          </w:rPr>
          <w:instrText xml:space="preserve"> PAGEREF _Toc523724469 \h </w:instrText>
        </w:r>
        <w:r>
          <w:rPr>
            <w:webHidden/>
          </w:rPr>
        </w:r>
        <w:r>
          <w:rPr>
            <w:webHidden/>
          </w:rPr>
          <w:fldChar w:fldCharType="separate"/>
        </w:r>
        <w:r w:rsidR="004B7EE5">
          <w:rPr>
            <w:webHidden/>
          </w:rPr>
          <w:t>13</w:t>
        </w:r>
        <w:r>
          <w:rPr>
            <w:webHidden/>
          </w:rPr>
          <w:fldChar w:fldCharType="end"/>
        </w:r>
      </w:hyperlink>
    </w:p>
    <w:p w:rsidR="006A7E48" w:rsidRDefault="00140E1B">
      <w:pPr>
        <w:pStyle w:val="TOC2"/>
        <w:rPr>
          <w:rFonts w:asciiTheme="minorHAnsi" w:eastAsiaTheme="minorEastAsia" w:hAnsiTheme="minorHAnsi" w:cstheme="minorBidi"/>
          <w:smallCaps w:val="0"/>
          <w:sz w:val="22"/>
          <w:szCs w:val="22"/>
          <w:lang w:val="en-IN" w:eastAsia="en-IN"/>
        </w:rPr>
      </w:pPr>
      <w:hyperlink w:anchor="_Toc523724470" w:history="1">
        <w:r w:rsidR="006A7E48" w:rsidRPr="00C458EF">
          <w:rPr>
            <w:rStyle w:val="Hyperlink"/>
            <w:rFonts w:cs="Calibri"/>
            <w:snapToGrid w:val="0"/>
            <w:w w:val="0"/>
          </w:rPr>
          <w:t>2.1</w:t>
        </w:r>
        <w:r w:rsidR="006A7E48">
          <w:rPr>
            <w:rFonts w:asciiTheme="minorHAnsi" w:eastAsiaTheme="minorEastAsia" w:hAnsiTheme="minorHAnsi" w:cstheme="minorBidi"/>
            <w:smallCaps w:val="0"/>
            <w:sz w:val="22"/>
            <w:szCs w:val="22"/>
            <w:lang w:val="en-IN" w:eastAsia="en-IN"/>
          </w:rPr>
          <w:tab/>
        </w:r>
        <w:r w:rsidR="006A7E48" w:rsidRPr="00C458EF">
          <w:rPr>
            <w:rStyle w:val="Hyperlink"/>
          </w:rPr>
          <w:t>Demographic Profile</w:t>
        </w:r>
        <w:r w:rsidR="006A7E48">
          <w:rPr>
            <w:webHidden/>
          </w:rPr>
          <w:tab/>
        </w:r>
        <w:r>
          <w:rPr>
            <w:webHidden/>
          </w:rPr>
          <w:fldChar w:fldCharType="begin"/>
        </w:r>
        <w:r w:rsidR="006A7E48">
          <w:rPr>
            <w:webHidden/>
          </w:rPr>
          <w:instrText xml:space="preserve"> PAGEREF _Toc523724470 \h </w:instrText>
        </w:r>
        <w:r>
          <w:rPr>
            <w:webHidden/>
          </w:rPr>
        </w:r>
        <w:r>
          <w:rPr>
            <w:webHidden/>
          </w:rPr>
          <w:fldChar w:fldCharType="separate"/>
        </w:r>
        <w:r w:rsidR="004B7EE5">
          <w:rPr>
            <w:webHidden/>
          </w:rPr>
          <w:t>13</w:t>
        </w:r>
        <w:r>
          <w:rPr>
            <w:webHidden/>
          </w:rPr>
          <w:fldChar w:fldCharType="end"/>
        </w:r>
      </w:hyperlink>
    </w:p>
    <w:p w:rsidR="006A7E48" w:rsidRDefault="00140E1B">
      <w:pPr>
        <w:pStyle w:val="TOC2"/>
        <w:rPr>
          <w:rFonts w:asciiTheme="minorHAnsi" w:eastAsiaTheme="minorEastAsia" w:hAnsiTheme="minorHAnsi" w:cstheme="minorBidi"/>
          <w:smallCaps w:val="0"/>
          <w:sz w:val="22"/>
          <w:szCs w:val="22"/>
          <w:lang w:val="en-IN" w:eastAsia="en-IN"/>
        </w:rPr>
      </w:pPr>
      <w:hyperlink w:anchor="_Toc523724471" w:history="1">
        <w:r w:rsidR="006A7E48" w:rsidRPr="00C458EF">
          <w:rPr>
            <w:rStyle w:val="Hyperlink"/>
            <w:rFonts w:cs="Calibri"/>
            <w:snapToGrid w:val="0"/>
            <w:w w:val="0"/>
          </w:rPr>
          <w:t>2.2</w:t>
        </w:r>
        <w:r w:rsidR="006A7E48">
          <w:rPr>
            <w:rFonts w:asciiTheme="minorHAnsi" w:eastAsiaTheme="minorEastAsia" w:hAnsiTheme="minorHAnsi" w:cstheme="minorBidi"/>
            <w:smallCaps w:val="0"/>
            <w:sz w:val="22"/>
            <w:szCs w:val="22"/>
            <w:lang w:val="en-IN" w:eastAsia="en-IN"/>
          </w:rPr>
          <w:tab/>
        </w:r>
        <w:r w:rsidR="006A7E48" w:rsidRPr="00C458EF">
          <w:rPr>
            <w:rStyle w:val="Hyperlink"/>
          </w:rPr>
          <w:t>Distribution Infrastructure</w:t>
        </w:r>
        <w:r w:rsidR="006A7E48">
          <w:rPr>
            <w:webHidden/>
          </w:rPr>
          <w:tab/>
        </w:r>
        <w:r>
          <w:rPr>
            <w:webHidden/>
          </w:rPr>
          <w:fldChar w:fldCharType="begin"/>
        </w:r>
        <w:r w:rsidR="006A7E48">
          <w:rPr>
            <w:webHidden/>
          </w:rPr>
          <w:instrText xml:space="preserve"> PAGEREF _Toc523724471 \h </w:instrText>
        </w:r>
        <w:r>
          <w:rPr>
            <w:webHidden/>
          </w:rPr>
        </w:r>
        <w:r>
          <w:rPr>
            <w:webHidden/>
          </w:rPr>
          <w:fldChar w:fldCharType="separate"/>
        </w:r>
        <w:r w:rsidR="004B7EE5">
          <w:rPr>
            <w:webHidden/>
          </w:rPr>
          <w:t>15</w:t>
        </w:r>
        <w:r>
          <w:rPr>
            <w:webHidden/>
          </w:rPr>
          <w:fldChar w:fldCharType="end"/>
        </w:r>
      </w:hyperlink>
    </w:p>
    <w:p w:rsidR="006A7E48" w:rsidRDefault="00140E1B">
      <w:pPr>
        <w:pStyle w:val="TOC2"/>
        <w:rPr>
          <w:rFonts w:asciiTheme="minorHAnsi" w:eastAsiaTheme="minorEastAsia" w:hAnsiTheme="minorHAnsi" w:cstheme="minorBidi"/>
          <w:smallCaps w:val="0"/>
          <w:sz w:val="22"/>
          <w:szCs w:val="22"/>
          <w:lang w:val="en-IN" w:eastAsia="en-IN"/>
        </w:rPr>
      </w:pPr>
      <w:hyperlink w:anchor="_Toc523724472" w:history="1">
        <w:r w:rsidR="006A7E48" w:rsidRPr="00C458EF">
          <w:rPr>
            <w:rStyle w:val="Hyperlink"/>
            <w:rFonts w:cs="Calibri"/>
            <w:snapToGrid w:val="0"/>
            <w:w w:val="0"/>
          </w:rPr>
          <w:t>2.3</w:t>
        </w:r>
        <w:r w:rsidR="006A7E48">
          <w:rPr>
            <w:rFonts w:asciiTheme="minorHAnsi" w:eastAsiaTheme="minorEastAsia" w:hAnsiTheme="minorHAnsi" w:cstheme="minorBidi"/>
            <w:smallCaps w:val="0"/>
            <w:sz w:val="22"/>
            <w:szCs w:val="22"/>
            <w:lang w:val="en-IN" w:eastAsia="en-IN"/>
          </w:rPr>
          <w:tab/>
        </w:r>
        <w:r w:rsidR="006A7E48" w:rsidRPr="00C458EF">
          <w:rPr>
            <w:rStyle w:val="Hyperlink"/>
          </w:rPr>
          <w:t>Organisational Structure</w:t>
        </w:r>
        <w:r w:rsidR="006A7E48">
          <w:rPr>
            <w:webHidden/>
          </w:rPr>
          <w:tab/>
        </w:r>
        <w:r>
          <w:rPr>
            <w:webHidden/>
          </w:rPr>
          <w:fldChar w:fldCharType="begin"/>
        </w:r>
        <w:r w:rsidR="006A7E48">
          <w:rPr>
            <w:webHidden/>
          </w:rPr>
          <w:instrText xml:space="preserve"> PAGEREF _Toc523724472 \h </w:instrText>
        </w:r>
        <w:r>
          <w:rPr>
            <w:webHidden/>
          </w:rPr>
        </w:r>
        <w:r>
          <w:rPr>
            <w:webHidden/>
          </w:rPr>
          <w:fldChar w:fldCharType="separate"/>
        </w:r>
        <w:r w:rsidR="004B7EE5">
          <w:rPr>
            <w:webHidden/>
          </w:rPr>
          <w:t>17</w:t>
        </w:r>
        <w:r>
          <w:rPr>
            <w:webHidden/>
          </w:rPr>
          <w:fldChar w:fldCharType="end"/>
        </w:r>
      </w:hyperlink>
    </w:p>
    <w:p w:rsidR="006A7E48" w:rsidRDefault="00140E1B">
      <w:pPr>
        <w:pStyle w:val="TOC2"/>
        <w:rPr>
          <w:rFonts w:asciiTheme="minorHAnsi" w:eastAsiaTheme="minorEastAsia" w:hAnsiTheme="minorHAnsi" w:cstheme="minorBidi"/>
          <w:smallCaps w:val="0"/>
          <w:sz w:val="22"/>
          <w:szCs w:val="22"/>
          <w:lang w:val="en-IN" w:eastAsia="en-IN"/>
        </w:rPr>
      </w:pPr>
      <w:hyperlink w:anchor="_Toc523724473" w:history="1">
        <w:r w:rsidR="006A7E48" w:rsidRPr="00C458EF">
          <w:rPr>
            <w:rStyle w:val="Hyperlink"/>
            <w:rFonts w:cs="Calibri"/>
            <w:snapToGrid w:val="0"/>
            <w:w w:val="0"/>
          </w:rPr>
          <w:t>2.4</w:t>
        </w:r>
        <w:r w:rsidR="006A7E48">
          <w:rPr>
            <w:rFonts w:asciiTheme="minorHAnsi" w:eastAsiaTheme="minorEastAsia" w:hAnsiTheme="minorHAnsi" w:cstheme="minorBidi"/>
            <w:smallCaps w:val="0"/>
            <w:sz w:val="22"/>
            <w:szCs w:val="22"/>
            <w:lang w:val="en-IN" w:eastAsia="en-IN"/>
          </w:rPr>
          <w:tab/>
        </w:r>
        <w:r w:rsidR="006A7E48" w:rsidRPr="00C458EF">
          <w:rPr>
            <w:rStyle w:val="Hyperlink"/>
            <w:rFonts w:cstheme="minorHAnsi"/>
          </w:rPr>
          <w:t>Operation and Maintenance Functions</w:t>
        </w:r>
        <w:r w:rsidR="006A7E48">
          <w:rPr>
            <w:webHidden/>
          </w:rPr>
          <w:tab/>
        </w:r>
        <w:r>
          <w:rPr>
            <w:webHidden/>
          </w:rPr>
          <w:fldChar w:fldCharType="begin"/>
        </w:r>
        <w:r w:rsidR="006A7E48">
          <w:rPr>
            <w:webHidden/>
          </w:rPr>
          <w:instrText xml:space="preserve"> PAGEREF _Toc523724473 \h </w:instrText>
        </w:r>
        <w:r>
          <w:rPr>
            <w:webHidden/>
          </w:rPr>
        </w:r>
        <w:r>
          <w:rPr>
            <w:webHidden/>
          </w:rPr>
          <w:fldChar w:fldCharType="separate"/>
        </w:r>
        <w:r w:rsidR="004B7EE5">
          <w:rPr>
            <w:webHidden/>
          </w:rPr>
          <w:t>19</w:t>
        </w:r>
        <w:r>
          <w:rPr>
            <w:webHidden/>
          </w:rPr>
          <w:fldChar w:fldCharType="end"/>
        </w:r>
      </w:hyperlink>
    </w:p>
    <w:p w:rsidR="006A7E48" w:rsidRDefault="00140E1B">
      <w:pPr>
        <w:pStyle w:val="TOC2"/>
        <w:rPr>
          <w:rFonts w:asciiTheme="minorHAnsi" w:eastAsiaTheme="minorEastAsia" w:hAnsiTheme="minorHAnsi" w:cstheme="minorBidi"/>
          <w:smallCaps w:val="0"/>
          <w:sz w:val="22"/>
          <w:szCs w:val="22"/>
          <w:lang w:val="en-IN" w:eastAsia="en-IN"/>
        </w:rPr>
      </w:pPr>
      <w:hyperlink w:anchor="_Toc523724474" w:history="1">
        <w:r w:rsidR="006A7E48" w:rsidRPr="00C458EF">
          <w:rPr>
            <w:rStyle w:val="Hyperlink"/>
            <w:rFonts w:cs="Calibri"/>
            <w:snapToGrid w:val="0"/>
            <w:w w:val="0"/>
          </w:rPr>
          <w:t>2.5</w:t>
        </w:r>
        <w:r w:rsidR="006A7E48">
          <w:rPr>
            <w:rFonts w:asciiTheme="minorHAnsi" w:eastAsiaTheme="minorEastAsia" w:hAnsiTheme="minorHAnsi" w:cstheme="minorBidi"/>
            <w:smallCaps w:val="0"/>
            <w:sz w:val="22"/>
            <w:szCs w:val="22"/>
            <w:lang w:val="en-IN" w:eastAsia="en-IN"/>
          </w:rPr>
          <w:tab/>
        </w:r>
        <w:r w:rsidR="006A7E48" w:rsidRPr="00C458EF">
          <w:rPr>
            <w:rStyle w:val="Hyperlink"/>
            <w:rFonts w:cstheme="minorHAnsi"/>
          </w:rPr>
          <w:t>Other Functions</w:t>
        </w:r>
        <w:r w:rsidR="006A7E48">
          <w:rPr>
            <w:webHidden/>
          </w:rPr>
          <w:tab/>
        </w:r>
        <w:r>
          <w:rPr>
            <w:webHidden/>
          </w:rPr>
          <w:fldChar w:fldCharType="begin"/>
        </w:r>
        <w:r w:rsidR="006A7E48">
          <w:rPr>
            <w:webHidden/>
          </w:rPr>
          <w:instrText xml:space="preserve"> PAGEREF _Toc523724474 \h </w:instrText>
        </w:r>
        <w:r>
          <w:rPr>
            <w:webHidden/>
          </w:rPr>
        </w:r>
        <w:r>
          <w:rPr>
            <w:webHidden/>
          </w:rPr>
          <w:fldChar w:fldCharType="separate"/>
        </w:r>
        <w:r w:rsidR="004B7EE5">
          <w:rPr>
            <w:webHidden/>
          </w:rPr>
          <w:t>19</w:t>
        </w:r>
        <w:r>
          <w:rPr>
            <w:webHidden/>
          </w:rPr>
          <w:fldChar w:fldCharType="end"/>
        </w:r>
      </w:hyperlink>
    </w:p>
    <w:p w:rsidR="006A7E48" w:rsidRDefault="00140E1B">
      <w:pPr>
        <w:pStyle w:val="TOC2"/>
        <w:rPr>
          <w:rFonts w:asciiTheme="minorHAnsi" w:eastAsiaTheme="minorEastAsia" w:hAnsiTheme="minorHAnsi" w:cstheme="minorBidi"/>
          <w:smallCaps w:val="0"/>
          <w:sz w:val="22"/>
          <w:szCs w:val="22"/>
          <w:lang w:val="en-IN" w:eastAsia="en-IN"/>
        </w:rPr>
      </w:pPr>
      <w:hyperlink w:anchor="_Toc523724475" w:history="1">
        <w:r w:rsidR="006A7E48" w:rsidRPr="00C458EF">
          <w:rPr>
            <w:rStyle w:val="Hyperlink"/>
            <w:rFonts w:cs="Calibri"/>
            <w:snapToGrid w:val="0"/>
            <w:w w:val="0"/>
          </w:rPr>
          <w:t>2.6</w:t>
        </w:r>
        <w:r w:rsidR="006A7E48">
          <w:rPr>
            <w:rFonts w:asciiTheme="minorHAnsi" w:eastAsiaTheme="minorEastAsia" w:hAnsiTheme="minorHAnsi" w:cstheme="minorBidi"/>
            <w:smallCaps w:val="0"/>
            <w:sz w:val="22"/>
            <w:szCs w:val="22"/>
            <w:lang w:val="en-IN" w:eastAsia="en-IN"/>
          </w:rPr>
          <w:tab/>
        </w:r>
        <w:r w:rsidR="006A7E48" w:rsidRPr="00C458EF">
          <w:rPr>
            <w:rStyle w:val="Hyperlink"/>
          </w:rPr>
          <w:t>Human Resource Management</w:t>
        </w:r>
        <w:r w:rsidR="006A7E48">
          <w:rPr>
            <w:webHidden/>
          </w:rPr>
          <w:tab/>
        </w:r>
        <w:r>
          <w:rPr>
            <w:webHidden/>
          </w:rPr>
          <w:fldChar w:fldCharType="begin"/>
        </w:r>
        <w:r w:rsidR="006A7E48">
          <w:rPr>
            <w:webHidden/>
          </w:rPr>
          <w:instrText xml:space="preserve"> PAGEREF _Toc523724475 \h </w:instrText>
        </w:r>
        <w:r>
          <w:rPr>
            <w:webHidden/>
          </w:rPr>
        </w:r>
        <w:r>
          <w:rPr>
            <w:webHidden/>
          </w:rPr>
          <w:fldChar w:fldCharType="separate"/>
        </w:r>
        <w:r w:rsidR="004B7EE5">
          <w:rPr>
            <w:webHidden/>
          </w:rPr>
          <w:t>21</w:t>
        </w:r>
        <w:r>
          <w:rPr>
            <w:webHidden/>
          </w:rPr>
          <w:fldChar w:fldCharType="end"/>
        </w:r>
      </w:hyperlink>
    </w:p>
    <w:p w:rsidR="006A7E48" w:rsidRDefault="00140E1B">
      <w:pPr>
        <w:pStyle w:val="TOC2"/>
        <w:rPr>
          <w:rFonts w:asciiTheme="minorHAnsi" w:eastAsiaTheme="minorEastAsia" w:hAnsiTheme="minorHAnsi" w:cstheme="minorBidi"/>
          <w:smallCaps w:val="0"/>
          <w:sz w:val="22"/>
          <w:szCs w:val="22"/>
          <w:lang w:val="en-IN" w:eastAsia="en-IN"/>
        </w:rPr>
      </w:pPr>
      <w:hyperlink w:anchor="_Toc523724476" w:history="1">
        <w:r w:rsidR="006A7E48" w:rsidRPr="00C458EF">
          <w:rPr>
            <w:rStyle w:val="Hyperlink"/>
            <w:rFonts w:cs="Calibri"/>
            <w:snapToGrid w:val="0"/>
            <w:w w:val="0"/>
          </w:rPr>
          <w:t>2.7</w:t>
        </w:r>
        <w:r w:rsidR="006A7E48">
          <w:rPr>
            <w:rFonts w:asciiTheme="minorHAnsi" w:eastAsiaTheme="minorEastAsia" w:hAnsiTheme="minorHAnsi" w:cstheme="minorBidi"/>
            <w:smallCaps w:val="0"/>
            <w:sz w:val="22"/>
            <w:szCs w:val="22"/>
            <w:lang w:val="en-IN" w:eastAsia="en-IN"/>
          </w:rPr>
          <w:tab/>
        </w:r>
        <w:r w:rsidR="006A7E48" w:rsidRPr="00C458EF">
          <w:rPr>
            <w:rStyle w:val="Hyperlink"/>
            <w:rFonts w:cstheme="minorHAnsi"/>
          </w:rPr>
          <w:t>Initiatives to Improve the System (IT, Technological, Customer Services)</w:t>
        </w:r>
        <w:r w:rsidR="006A7E48">
          <w:rPr>
            <w:webHidden/>
          </w:rPr>
          <w:tab/>
        </w:r>
        <w:r>
          <w:rPr>
            <w:webHidden/>
          </w:rPr>
          <w:fldChar w:fldCharType="begin"/>
        </w:r>
        <w:r w:rsidR="006A7E48">
          <w:rPr>
            <w:webHidden/>
          </w:rPr>
          <w:instrText xml:space="preserve"> PAGEREF _Toc523724476 \h </w:instrText>
        </w:r>
        <w:r>
          <w:rPr>
            <w:webHidden/>
          </w:rPr>
        </w:r>
        <w:r>
          <w:rPr>
            <w:webHidden/>
          </w:rPr>
          <w:fldChar w:fldCharType="separate"/>
        </w:r>
        <w:r w:rsidR="004B7EE5">
          <w:rPr>
            <w:webHidden/>
          </w:rPr>
          <w:t>22</w:t>
        </w:r>
        <w:r>
          <w:rPr>
            <w:webHidden/>
          </w:rPr>
          <w:fldChar w:fldCharType="end"/>
        </w:r>
      </w:hyperlink>
    </w:p>
    <w:p w:rsidR="006A7E48" w:rsidRDefault="00140E1B">
      <w:pPr>
        <w:pStyle w:val="TOC2"/>
        <w:rPr>
          <w:rFonts w:asciiTheme="minorHAnsi" w:eastAsiaTheme="minorEastAsia" w:hAnsiTheme="minorHAnsi" w:cstheme="minorBidi"/>
          <w:smallCaps w:val="0"/>
          <w:sz w:val="22"/>
          <w:szCs w:val="22"/>
          <w:lang w:val="en-IN" w:eastAsia="en-IN"/>
        </w:rPr>
      </w:pPr>
      <w:hyperlink w:anchor="_Toc523724477" w:history="1">
        <w:r w:rsidR="006A7E48" w:rsidRPr="00C458EF">
          <w:rPr>
            <w:rStyle w:val="Hyperlink"/>
            <w:rFonts w:cs="Calibri"/>
            <w:snapToGrid w:val="0"/>
            <w:w w:val="0"/>
          </w:rPr>
          <w:t>2.8</w:t>
        </w:r>
        <w:r w:rsidR="006A7E48">
          <w:rPr>
            <w:rFonts w:asciiTheme="minorHAnsi" w:eastAsiaTheme="minorEastAsia" w:hAnsiTheme="minorHAnsi" w:cstheme="minorBidi"/>
            <w:smallCaps w:val="0"/>
            <w:sz w:val="22"/>
            <w:szCs w:val="22"/>
            <w:lang w:val="en-IN" w:eastAsia="en-IN"/>
          </w:rPr>
          <w:tab/>
        </w:r>
        <w:r w:rsidR="006A7E48" w:rsidRPr="00C458EF">
          <w:rPr>
            <w:rStyle w:val="Hyperlink"/>
            <w:rFonts w:cstheme="minorHAnsi"/>
          </w:rPr>
          <w:t>Way Forward for PED</w:t>
        </w:r>
        <w:r w:rsidR="006A7E48">
          <w:rPr>
            <w:webHidden/>
          </w:rPr>
          <w:tab/>
        </w:r>
        <w:r>
          <w:rPr>
            <w:webHidden/>
          </w:rPr>
          <w:fldChar w:fldCharType="begin"/>
        </w:r>
        <w:r w:rsidR="006A7E48">
          <w:rPr>
            <w:webHidden/>
          </w:rPr>
          <w:instrText xml:space="preserve"> PAGEREF _Toc523724477 \h </w:instrText>
        </w:r>
        <w:r>
          <w:rPr>
            <w:webHidden/>
          </w:rPr>
        </w:r>
        <w:r>
          <w:rPr>
            <w:webHidden/>
          </w:rPr>
          <w:fldChar w:fldCharType="separate"/>
        </w:r>
        <w:r w:rsidR="004B7EE5">
          <w:rPr>
            <w:webHidden/>
          </w:rPr>
          <w:t>25</w:t>
        </w:r>
        <w:r>
          <w:rPr>
            <w:webHidden/>
          </w:rPr>
          <w:fldChar w:fldCharType="end"/>
        </w:r>
      </w:hyperlink>
    </w:p>
    <w:p w:rsidR="006A7E48" w:rsidRDefault="00140E1B">
      <w:pPr>
        <w:pStyle w:val="TOC1"/>
        <w:rPr>
          <w:rFonts w:asciiTheme="minorHAnsi" w:eastAsiaTheme="minorEastAsia" w:hAnsiTheme="minorHAnsi" w:cstheme="minorBidi"/>
          <w:b w:val="0"/>
          <w:bCs w:val="0"/>
          <w:caps w:val="0"/>
          <w:sz w:val="22"/>
          <w:szCs w:val="22"/>
          <w:lang w:val="en-IN" w:eastAsia="en-IN"/>
        </w:rPr>
      </w:pPr>
      <w:hyperlink w:anchor="_Toc523724478" w:history="1">
        <w:r w:rsidR="006A7E48" w:rsidRPr="00C458EF">
          <w:rPr>
            <w:rStyle w:val="Hyperlink"/>
            <w:rFonts w:cs="Calibri"/>
          </w:rPr>
          <w:t>3.</w:t>
        </w:r>
        <w:r w:rsidR="006A7E48">
          <w:rPr>
            <w:rFonts w:asciiTheme="minorHAnsi" w:eastAsiaTheme="minorEastAsia" w:hAnsiTheme="minorHAnsi" w:cstheme="minorBidi"/>
            <w:b w:val="0"/>
            <w:bCs w:val="0"/>
            <w:caps w:val="0"/>
            <w:sz w:val="22"/>
            <w:szCs w:val="22"/>
            <w:lang w:val="en-IN" w:eastAsia="en-IN"/>
          </w:rPr>
          <w:tab/>
        </w:r>
        <w:r w:rsidR="006A7E48" w:rsidRPr="00C458EF">
          <w:rPr>
            <w:rStyle w:val="Hyperlink"/>
          </w:rPr>
          <w:t>SWOT Analysis</w:t>
        </w:r>
        <w:r w:rsidR="006A7E48">
          <w:rPr>
            <w:webHidden/>
          </w:rPr>
          <w:tab/>
        </w:r>
        <w:r>
          <w:rPr>
            <w:webHidden/>
          </w:rPr>
          <w:fldChar w:fldCharType="begin"/>
        </w:r>
        <w:r w:rsidR="006A7E48">
          <w:rPr>
            <w:webHidden/>
          </w:rPr>
          <w:instrText xml:space="preserve"> PAGEREF _Toc523724478 \h </w:instrText>
        </w:r>
        <w:r>
          <w:rPr>
            <w:webHidden/>
          </w:rPr>
        </w:r>
        <w:r>
          <w:rPr>
            <w:webHidden/>
          </w:rPr>
          <w:fldChar w:fldCharType="separate"/>
        </w:r>
        <w:r w:rsidR="004B7EE5">
          <w:rPr>
            <w:webHidden/>
          </w:rPr>
          <w:t>27</w:t>
        </w:r>
        <w:r>
          <w:rPr>
            <w:webHidden/>
          </w:rPr>
          <w:fldChar w:fldCharType="end"/>
        </w:r>
      </w:hyperlink>
    </w:p>
    <w:p w:rsidR="006A7E48" w:rsidRDefault="00140E1B">
      <w:pPr>
        <w:pStyle w:val="TOC2"/>
        <w:rPr>
          <w:rFonts w:asciiTheme="minorHAnsi" w:eastAsiaTheme="minorEastAsia" w:hAnsiTheme="minorHAnsi" w:cstheme="minorBidi"/>
          <w:smallCaps w:val="0"/>
          <w:sz w:val="22"/>
          <w:szCs w:val="22"/>
          <w:lang w:val="en-IN" w:eastAsia="en-IN"/>
        </w:rPr>
      </w:pPr>
      <w:hyperlink w:anchor="_Toc523724479" w:history="1">
        <w:r w:rsidR="006A7E48" w:rsidRPr="00C458EF">
          <w:rPr>
            <w:rStyle w:val="Hyperlink"/>
            <w:rFonts w:cs="Calibri"/>
            <w:snapToGrid w:val="0"/>
            <w:w w:val="0"/>
          </w:rPr>
          <w:t>3.1</w:t>
        </w:r>
        <w:r w:rsidR="006A7E48">
          <w:rPr>
            <w:rFonts w:asciiTheme="minorHAnsi" w:eastAsiaTheme="minorEastAsia" w:hAnsiTheme="minorHAnsi" w:cstheme="minorBidi"/>
            <w:smallCaps w:val="0"/>
            <w:sz w:val="22"/>
            <w:szCs w:val="22"/>
            <w:lang w:val="en-IN" w:eastAsia="en-IN"/>
          </w:rPr>
          <w:tab/>
        </w:r>
        <w:r w:rsidR="006A7E48" w:rsidRPr="00C458EF">
          <w:rPr>
            <w:rStyle w:val="Hyperlink"/>
          </w:rPr>
          <w:t>SWOT Analysis</w:t>
        </w:r>
        <w:r w:rsidR="006A7E48">
          <w:rPr>
            <w:webHidden/>
          </w:rPr>
          <w:tab/>
        </w:r>
        <w:r>
          <w:rPr>
            <w:webHidden/>
          </w:rPr>
          <w:fldChar w:fldCharType="begin"/>
        </w:r>
        <w:r w:rsidR="006A7E48">
          <w:rPr>
            <w:webHidden/>
          </w:rPr>
          <w:instrText xml:space="preserve"> PAGEREF _Toc523724479 \h </w:instrText>
        </w:r>
        <w:r>
          <w:rPr>
            <w:webHidden/>
          </w:rPr>
        </w:r>
        <w:r>
          <w:rPr>
            <w:webHidden/>
          </w:rPr>
          <w:fldChar w:fldCharType="separate"/>
        </w:r>
        <w:r w:rsidR="004B7EE5">
          <w:rPr>
            <w:webHidden/>
          </w:rPr>
          <w:t>27</w:t>
        </w:r>
        <w:r>
          <w:rPr>
            <w:webHidden/>
          </w:rPr>
          <w:fldChar w:fldCharType="end"/>
        </w:r>
      </w:hyperlink>
    </w:p>
    <w:p w:rsidR="006A7E48" w:rsidRDefault="00140E1B">
      <w:pPr>
        <w:pStyle w:val="TOC1"/>
        <w:rPr>
          <w:rFonts w:asciiTheme="minorHAnsi" w:eastAsiaTheme="minorEastAsia" w:hAnsiTheme="minorHAnsi" w:cstheme="minorBidi"/>
          <w:b w:val="0"/>
          <w:bCs w:val="0"/>
          <w:caps w:val="0"/>
          <w:sz w:val="22"/>
          <w:szCs w:val="22"/>
          <w:lang w:val="en-IN" w:eastAsia="en-IN"/>
        </w:rPr>
      </w:pPr>
      <w:hyperlink w:anchor="_Toc523724480" w:history="1">
        <w:r w:rsidR="006A7E48" w:rsidRPr="00C458EF">
          <w:rPr>
            <w:rStyle w:val="Hyperlink"/>
            <w:rFonts w:cs="Calibri"/>
          </w:rPr>
          <w:t>4.</w:t>
        </w:r>
        <w:r w:rsidR="006A7E48">
          <w:rPr>
            <w:rFonts w:asciiTheme="minorHAnsi" w:eastAsiaTheme="minorEastAsia" w:hAnsiTheme="minorHAnsi" w:cstheme="minorBidi"/>
            <w:b w:val="0"/>
            <w:bCs w:val="0"/>
            <w:caps w:val="0"/>
            <w:sz w:val="22"/>
            <w:szCs w:val="22"/>
            <w:lang w:val="en-IN" w:eastAsia="en-IN"/>
          </w:rPr>
          <w:tab/>
        </w:r>
        <w:r w:rsidR="006A7E48" w:rsidRPr="00C458EF">
          <w:rPr>
            <w:rStyle w:val="Hyperlink"/>
          </w:rPr>
          <w:t>DEMAND &amp; SALES ASSESSMENT</w:t>
        </w:r>
        <w:r w:rsidR="006A7E48">
          <w:rPr>
            <w:webHidden/>
          </w:rPr>
          <w:tab/>
        </w:r>
        <w:r>
          <w:rPr>
            <w:webHidden/>
          </w:rPr>
          <w:fldChar w:fldCharType="begin"/>
        </w:r>
        <w:r w:rsidR="006A7E48">
          <w:rPr>
            <w:webHidden/>
          </w:rPr>
          <w:instrText xml:space="preserve"> PAGEREF _Toc523724480 \h </w:instrText>
        </w:r>
        <w:r>
          <w:rPr>
            <w:webHidden/>
          </w:rPr>
        </w:r>
        <w:r>
          <w:rPr>
            <w:webHidden/>
          </w:rPr>
          <w:fldChar w:fldCharType="separate"/>
        </w:r>
        <w:r w:rsidR="004B7EE5">
          <w:rPr>
            <w:webHidden/>
          </w:rPr>
          <w:t>31</w:t>
        </w:r>
        <w:r>
          <w:rPr>
            <w:webHidden/>
          </w:rPr>
          <w:fldChar w:fldCharType="end"/>
        </w:r>
      </w:hyperlink>
    </w:p>
    <w:p w:rsidR="006A7E48" w:rsidRDefault="00140E1B">
      <w:pPr>
        <w:pStyle w:val="TOC2"/>
        <w:rPr>
          <w:rFonts w:asciiTheme="minorHAnsi" w:eastAsiaTheme="minorEastAsia" w:hAnsiTheme="minorHAnsi" w:cstheme="minorBidi"/>
          <w:smallCaps w:val="0"/>
          <w:sz w:val="22"/>
          <w:szCs w:val="22"/>
          <w:lang w:val="en-IN" w:eastAsia="en-IN"/>
        </w:rPr>
      </w:pPr>
      <w:hyperlink w:anchor="_Toc523724481" w:history="1">
        <w:r w:rsidR="006A7E48" w:rsidRPr="00C458EF">
          <w:rPr>
            <w:rStyle w:val="Hyperlink"/>
            <w:rFonts w:cs="Calibri"/>
            <w:snapToGrid w:val="0"/>
            <w:w w:val="0"/>
          </w:rPr>
          <w:t>4.1</w:t>
        </w:r>
        <w:r w:rsidR="006A7E48">
          <w:rPr>
            <w:rFonts w:asciiTheme="minorHAnsi" w:eastAsiaTheme="minorEastAsia" w:hAnsiTheme="minorHAnsi" w:cstheme="minorBidi"/>
            <w:smallCaps w:val="0"/>
            <w:sz w:val="22"/>
            <w:szCs w:val="22"/>
            <w:lang w:val="en-IN" w:eastAsia="en-IN"/>
          </w:rPr>
          <w:tab/>
        </w:r>
        <w:r w:rsidR="006A7E48" w:rsidRPr="00C458EF">
          <w:rPr>
            <w:rStyle w:val="Hyperlink"/>
          </w:rPr>
          <w:t>Regulatory Provisions for Sales Forecast</w:t>
        </w:r>
        <w:r w:rsidR="006A7E48">
          <w:rPr>
            <w:webHidden/>
          </w:rPr>
          <w:tab/>
        </w:r>
        <w:r>
          <w:rPr>
            <w:webHidden/>
          </w:rPr>
          <w:fldChar w:fldCharType="begin"/>
        </w:r>
        <w:r w:rsidR="006A7E48">
          <w:rPr>
            <w:webHidden/>
          </w:rPr>
          <w:instrText xml:space="preserve"> PAGEREF _Toc523724481 \h </w:instrText>
        </w:r>
        <w:r>
          <w:rPr>
            <w:webHidden/>
          </w:rPr>
        </w:r>
        <w:r>
          <w:rPr>
            <w:webHidden/>
          </w:rPr>
          <w:fldChar w:fldCharType="separate"/>
        </w:r>
        <w:r w:rsidR="004B7EE5">
          <w:rPr>
            <w:webHidden/>
          </w:rPr>
          <w:t>31</w:t>
        </w:r>
        <w:r>
          <w:rPr>
            <w:webHidden/>
          </w:rPr>
          <w:fldChar w:fldCharType="end"/>
        </w:r>
      </w:hyperlink>
    </w:p>
    <w:p w:rsidR="006A7E48" w:rsidRDefault="00140E1B">
      <w:pPr>
        <w:pStyle w:val="TOC2"/>
        <w:rPr>
          <w:rFonts w:asciiTheme="minorHAnsi" w:eastAsiaTheme="minorEastAsia" w:hAnsiTheme="minorHAnsi" w:cstheme="minorBidi"/>
          <w:smallCaps w:val="0"/>
          <w:sz w:val="22"/>
          <w:szCs w:val="22"/>
          <w:lang w:val="en-IN" w:eastAsia="en-IN"/>
        </w:rPr>
      </w:pPr>
      <w:hyperlink w:anchor="_Toc523724482" w:history="1">
        <w:r w:rsidR="006A7E48" w:rsidRPr="00C458EF">
          <w:rPr>
            <w:rStyle w:val="Hyperlink"/>
            <w:rFonts w:cs="Calibri"/>
            <w:snapToGrid w:val="0"/>
            <w:w w:val="0"/>
          </w:rPr>
          <w:t>4.2</w:t>
        </w:r>
        <w:r w:rsidR="006A7E48">
          <w:rPr>
            <w:rFonts w:asciiTheme="minorHAnsi" w:eastAsiaTheme="minorEastAsia" w:hAnsiTheme="minorHAnsi" w:cstheme="minorBidi"/>
            <w:smallCaps w:val="0"/>
            <w:sz w:val="22"/>
            <w:szCs w:val="22"/>
            <w:lang w:val="en-IN" w:eastAsia="en-IN"/>
          </w:rPr>
          <w:tab/>
        </w:r>
        <w:r w:rsidR="006A7E48" w:rsidRPr="00C458EF">
          <w:rPr>
            <w:rStyle w:val="Hyperlink"/>
          </w:rPr>
          <w:t>Approach for forecast of No. of Consumers, Connected Load and Sales for the Control Period</w:t>
        </w:r>
        <w:r w:rsidR="006A7E48">
          <w:rPr>
            <w:webHidden/>
          </w:rPr>
          <w:tab/>
        </w:r>
        <w:r>
          <w:rPr>
            <w:webHidden/>
          </w:rPr>
          <w:fldChar w:fldCharType="begin"/>
        </w:r>
        <w:r w:rsidR="006A7E48">
          <w:rPr>
            <w:webHidden/>
          </w:rPr>
          <w:instrText xml:space="preserve"> PAGEREF _Toc523724482 \h </w:instrText>
        </w:r>
        <w:r>
          <w:rPr>
            <w:webHidden/>
          </w:rPr>
        </w:r>
        <w:r>
          <w:rPr>
            <w:webHidden/>
          </w:rPr>
          <w:fldChar w:fldCharType="separate"/>
        </w:r>
        <w:r w:rsidR="004B7EE5">
          <w:rPr>
            <w:webHidden/>
          </w:rPr>
          <w:t>32</w:t>
        </w:r>
        <w:r>
          <w:rPr>
            <w:webHidden/>
          </w:rPr>
          <w:fldChar w:fldCharType="end"/>
        </w:r>
      </w:hyperlink>
    </w:p>
    <w:p w:rsidR="006A7E48" w:rsidRDefault="00140E1B">
      <w:pPr>
        <w:pStyle w:val="TOC2"/>
        <w:rPr>
          <w:rFonts w:asciiTheme="minorHAnsi" w:eastAsiaTheme="minorEastAsia" w:hAnsiTheme="minorHAnsi" w:cstheme="minorBidi"/>
          <w:smallCaps w:val="0"/>
          <w:sz w:val="22"/>
          <w:szCs w:val="22"/>
          <w:lang w:val="en-IN" w:eastAsia="en-IN"/>
        </w:rPr>
      </w:pPr>
      <w:hyperlink w:anchor="_Toc523724483" w:history="1">
        <w:r w:rsidR="006A7E48" w:rsidRPr="00C458EF">
          <w:rPr>
            <w:rStyle w:val="Hyperlink"/>
            <w:rFonts w:cs="Calibri"/>
            <w:snapToGrid w:val="0"/>
            <w:w w:val="0"/>
          </w:rPr>
          <w:t>4.3</w:t>
        </w:r>
        <w:r w:rsidR="006A7E48">
          <w:rPr>
            <w:rFonts w:asciiTheme="minorHAnsi" w:eastAsiaTheme="minorEastAsia" w:hAnsiTheme="minorHAnsi" w:cstheme="minorBidi"/>
            <w:smallCaps w:val="0"/>
            <w:sz w:val="22"/>
            <w:szCs w:val="22"/>
            <w:lang w:val="en-IN" w:eastAsia="en-IN"/>
          </w:rPr>
          <w:tab/>
        </w:r>
        <w:r w:rsidR="006A7E48" w:rsidRPr="00C458EF">
          <w:rPr>
            <w:rStyle w:val="Hyperlink"/>
          </w:rPr>
          <w:t>Forecast of No. of Consumers, Connected Load and Sales</w:t>
        </w:r>
        <w:r w:rsidR="006A7E48">
          <w:rPr>
            <w:webHidden/>
          </w:rPr>
          <w:tab/>
        </w:r>
        <w:r>
          <w:rPr>
            <w:webHidden/>
          </w:rPr>
          <w:fldChar w:fldCharType="begin"/>
        </w:r>
        <w:r w:rsidR="006A7E48">
          <w:rPr>
            <w:webHidden/>
          </w:rPr>
          <w:instrText xml:space="preserve"> PAGEREF _Toc523724483 \h </w:instrText>
        </w:r>
        <w:r>
          <w:rPr>
            <w:webHidden/>
          </w:rPr>
        </w:r>
        <w:r>
          <w:rPr>
            <w:webHidden/>
          </w:rPr>
          <w:fldChar w:fldCharType="separate"/>
        </w:r>
        <w:r w:rsidR="004B7EE5">
          <w:rPr>
            <w:webHidden/>
          </w:rPr>
          <w:t>32</w:t>
        </w:r>
        <w:r>
          <w:rPr>
            <w:webHidden/>
          </w:rPr>
          <w:fldChar w:fldCharType="end"/>
        </w:r>
      </w:hyperlink>
    </w:p>
    <w:p w:rsidR="006A7E48" w:rsidRDefault="00140E1B">
      <w:pPr>
        <w:pStyle w:val="TOC2"/>
        <w:rPr>
          <w:rFonts w:asciiTheme="minorHAnsi" w:eastAsiaTheme="minorEastAsia" w:hAnsiTheme="minorHAnsi" w:cstheme="minorBidi"/>
          <w:smallCaps w:val="0"/>
          <w:sz w:val="22"/>
          <w:szCs w:val="22"/>
          <w:lang w:val="en-IN" w:eastAsia="en-IN"/>
        </w:rPr>
      </w:pPr>
      <w:hyperlink w:anchor="_Toc523724484" w:history="1">
        <w:r w:rsidR="006A7E48" w:rsidRPr="00C458EF">
          <w:rPr>
            <w:rStyle w:val="Hyperlink"/>
            <w:rFonts w:cs="Calibri"/>
            <w:snapToGrid w:val="0"/>
            <w:w w:val="0"/>
          </w:rPr>
          <w:t>4.4</w:t>
        </w:r>
        <w:r w:rsidR="006A7E48">
          <w:rPr>
            <w:rFonts w:asciiTheme="minorHAnsi" w:eastAsiaTheme="minorEastAsia" w:hAnsiTheme="minorHAnsi" w:cstheme="minorBidi"/>
            <w:smallCaps w:val="0"/>
            <w:sz w:val="22"/>
            <w:szCs w:val="22"/>
            <w:lang w:val="en-IN" w:eastAsia="en-IN"/>
          </w:rPr>
          <w:tab/>
        </w:r>
        <w:r w:rsidR="006A7E48" w:rsidRPr="00C458EF">
          <w:rPr>
            <w:rStyle w:val="Hyperlink"/>
          </w:rPr>
          <w:t>Projected No. of Consumers, Connected Load and Sales for the MYT Control Period</w:t>
        </w:r>
        <w:r w:rsidR="006A7E48">
          <w:rPr>
            <w:webHidden/>
          </w:rPr>
          <w:tab/>
        </w:r>
        <w:r>
          <w:rPr>
            <w:webHidden/>
          </w:rPr>
          <w:fldChar w:fldCharType="begin"/>
        </w:r>
        <w:r w:rsidR="006A7E48">
          <w:rPr>
            <w:webHidden/>
          </w:rPr>
          <w:instrText xml:space="preserve"> PAGEREF _Toc523724484 \h </w:instrText>
        </w:r>
        <w:r>
          <w:rPr>
            <w:webHidden/>
          </w:rPr>
        </w:r>
        <w:r>
          <w:rPr>
            <w:webHidden/>
          </w:rPr>
          <w:fldChar w:fldCharType="separate"/>
        </w:r>
        <w:r w:rsidR="004B7EE5">
          <w:rPr>
            <w:webHidden/>
          </w:rPr>
          <w:t>35</w:t>
        </w:r>
        <w:r>
          <w:rPr>
            <w:webHidden/>
          </w:rPr>
          <w:fldChar w:fldCharType="end"/>
        </w:r>
      </w:hyperlink>
    </w:p>
    <w:p w:rsidR="006A7E48" w:rsidRDefault="00140E1B">
      <w:pPr>
        <w:pStyle w:val="TOC2"/>
        <w:rPr>
          <w:rFonts w:asciiTheme="minorHAnsi" w:eastAsiaTheme="minorEastAsia" w:hAnsiTheme="minorHAnsi" w:cstheme="minorBidi"/>
          <w:smallCaps w:val="0"/>
          <w:sz w:val="22"/>
          <w:szCs w:val="22"/>
          <w:lang w:val="en-IN" w:eastAsia="en-IN"/>
        </w:rPr>
      </w:pPr>
      <w:hyperlink w:anchor="_Toc523724485" w:history="1">
        <w:r w:rsidR="006A7E48" w:rsidRPr="00C458EF">
          <w:rPr>
            <w:rStyle w:val="Hyperlink"/>
            <w:rFonts w:cs="Calibri"/>
            <w:snapToGrid w:val="0"/>
            <w:w w:val="0"/>
          </w:rPr>
          <w:t>4.5</w:t>
        </w:r>
        <w:r w:rsidR="006A7E48">
          <w:rPr>
            <w:rFonts w:asciiTheme="minorHAnsi" w:eastAsiaTheme="minorEastAsia" w:hAnsiTheme="minorHAnsi" w:cstheme="minorBidi"/>
            <w:smallCaps w:val="0"/>
            <w:sz w:val="22"/>
            <w:szCs w:val="22"/>
            <w:lang w:val="en-IN" w:eastAsia="en-IN"/>
          </w:rPr>
          <w:tab/>
        </w:r>
        <w:r w:rsidR="006A7E48" w:rsidRPr="00C458EF">
          <w:rPr>
            <w:rStyle w:val="Hyperlink"/>
          </w:rPr>
          <w:t>Sale of Electricity</w:t>
        </w:r>
        <w:r w:rsidR="006A7E48">
          <w:rPr>
            <w:webHidden/>
          </w:rPr>
          <w:tab/>
        </w:r>
        <w:r>
          <w:rPr>
            <w:webHidden/>
          </w:rPr>
          <w:fldChar w:fldCharType="begin"/>
        </w:r>
        <w:r w:rsidR="006A7E48">
          <w:rPr>
            <w:webHidden/>
          </w:rPr>
          <w:instrText xml:space="preserve"> PAGEREF _Toc523724485 \h </w:instrText>
        </w:r>
        <w:r>
          <w:rPr>
            <w:webHidden/>
          </w:rPr>
        </w:r>
        <w:r>
          <w:rPr>
            <w:webHidden/>
          </w:rPr>
          <w:fldChar w:fldCharType="separate"/>
        </w:r>
        <w:r w:rsidR="004B7EE5">
          <w:rPr>
            <w:webHidden/>
          </w:rPr>
          <w:t>37</w:t>
        </w:r>
        <w:r>
          <w:rPr>
            <w:webHidden/>
          </w:rPr>
          <w:fldChar w:fldCharType="end"/>
        </w:r>
      </w:hyperlink>
    </w:p>
    <w:p w:rsidR="006A7E48" w:rsidRDefault="00140E1B">
      <w:pPr>
        <w:pStyle w:val="TOC2"/>
        <w:rPr>
          <w:rFonts w:asciiTheme="minorHAnsi" w:eastAsiaTheme="minorEastAsia" w:hAnsiTheme="minorHAnsi" w:cstheme="minorBidi"/>
          <w:smallCaps w:val="0"/>
          <w:sz w:val="22"/>
          <w:szCs w:val="22"/>
          <w:lang w:val="en-IN" w:eastAsia="en-IN"/>
        </w:rPr>
      </w:pPr>
      <w:hyperlink w:anchor="_Toc523724486" w:history="1">
        <w:r w:rsidR="006A7E48" w:rsidRPr="00C458EF">
          <w:rPr>
            <w:rStyle w:val="Hyperlink"/>
            <w:rFonts w:cs="Calibri"/>
            <w:snapToGrid w:val="0"/>
            <w:w w:val="0"/>
          </w:rPr>
          <w:t>4.6</w:t>
        </w:r>
        <w:r w:rsidR="006A7E48">
          <w:rPr>
            <w:rFonts w:asciiTheme="minorHAnsi" w:eastAsiaTheme="minorEastAsia" w:hAnsiTheme="minorHAnsi" w:cstheme="minorBidi"/>
            <w:smallCaps w:val="0"/>
            <w:sz w:val="22"/>
            <w:szCs w:val="22"/>
            <w:lang w:val="en-IN" w:eastAsia="en-IN"/>
          </w:rPr>
          <w:tab/>
        </w:r>
        <w:r w:rsidR="006A7E48" w:rsidRPr="00C458EF">
          <w:rPr>
            <w:rStyle w:val="Hyperlink"/>
          </w:rPr>
          <w:t>Distribution Loss Target</w:t>
        </w:r>
        <w:r w:rsidR="006A7E48">
          <w:rPr>
            <w:webHidden/>
          </w:rPr>
          <w:tab/>
        </w:r>
        <w:r>
          <w:rPr>
            <w:webHidden/>
          </w:rPr>
          <w:fldChar w:fldCharType="begin"/>
        </w:r>
        <w:r w:rsidR="006A7E48">
          <w:rPr>
            <w:webHidden/>
          </w:rPr>
          <w:instrText xml:space="preserve"> PAGEREF _Toc523724486 \h </w:instrText>
        </w:r>
        <w:r>
          <w:rPr>
            <w:webHidden/>
          </w:rPr>
        </w:r>
        <w:r>
          <w:rPr>
            <w:webHidden/>
          </w:rPr>
          <w:fldChar w:fldCharType="separate"/>
        </w:r>
        <w:r w:rsidR="004B7EE5">
          <w:rPr>
            <w:webHidden/>
          </w:rPr>
          <w:t>37</w:t>
        </w:r>
        <w:r>
          <w:rPr>
            <w:webHidden/>
          </w:rPr>
          <w:fldChar w:fldCharType="end"/>
        </w:r>
      </w:hyperlink>
    </w:p>
    <w:p w:rsidR="006A7E48" w:rsidRDefault="00140E1B">
      <w:pPr>
        <w:pStyle w:val="TOC1"/>
        <w:rPr>
          <w:rFonts w:asciiTheme="minorHAnsi" w:eastAsiaTheme="minorEastAsia" w:hAnsiTheme="minorHAnsi" w:cstheme="minorBidi"/>
          <w:b w:val="0"/>
          <w:bCs w:val="0"/>
          <w:caps w:val="0"/>
          <w:sz w:val="22"/>
          <w:szCs w:val="22"/>
          <w:lang w:val="en-IN" w:eastAsia="en-IN"/>
        </w:rPr>
      </w:pPr>
      <w:hyperlink w:anchor="_Toc523724487" w:history="1">
        <w:r w:rsidR="006A7E48" w:rsidRPr="00C458EF">
          <w:rPr>
            <w:rStyle w:val="Hyperlink"/>
            <w:rFonts w:cs="Calibri"/>
          </w:rPr>
          <w:t>5.</w:t>
        </w:r>
        <w:r w:rsidR="006A7E48">
          <w:rPr>
            <w:rFonts w:asciiTheme="minorHAnsi" w:eastAsiaTheme="minorEastAsia" w:hAnsiTheme="minorHAnsi" w:cstheme="minorBidi"/>
            <w:b w:val="0"/>
            <w:bCs w:val="0"/>
            <w:caps w:val="0"/>
            <w:sz w:val="22"/>
            <w:szCs w:val="22"/>
            <w:lang w:val="en-IN" w:eastAsia="en-IN"/>
          </w:rPr>
          <w:tab/>
        </w:r>
        <w:r w:rsidR="006A7E48" w:rsidRPr="00C458EF">
          <w:rPr>
            <w:rStyle w:val="Hyperlink"/>
          </w:rPr>
          <w:t>POWER PURCHASE PLAN</w:t>
        </w:r>
        <w:r w:rsidR="006A7E48">
          <w:rPr>
            <w:webHidden/>
          </w:rPr>
          <w:tab/>
        </w:r>
        <w:r>
          <w:rPr>
            <w:webHidden/>
          </w:rPr>
          <w:fldChar w:fldCharType="begin"/>
        </w:r>
        <w:r w:rsidR="006A7E48">
          <w:rPr>
            <w:webHidden/>
          </w:rPr>
          <w:instrText xml:space="preserve"> PAGEREF _Toc523724487 \h </w:instrText>
        </w:r>
        <w:r>
          <w:rPr>
            <w:webHidden/>
          </w:rPr>
        </w:r>
        <w:r>
          <w:rPr>
            <w:webHidden/>
          </w:rPr>
          <w:fldChar w:fldCharType="separate"/>
        </w:r>
        <w:r w:rsidR="004B7EE5">
          <w:rPr>
            <w:webHidden/>
          </w:rPr>
          <w:t>38</w:t>
        </w:r>
        <w:r>
          <w:rPr>
            <w:webHidden/>
          </w:rPr>
          <w:fldChar w:fldCharType="end"/>
        </w:r>
      </w:hyperlink>
    </w:p>
    <w:p w:rsidR="006A7E48" w:rsidRDefault="00140E1B">
      <w:pPr>
        <w:pStyle w:val="TOC2"/>
        <w:rPr>
          <w:rFonts w:asciiTheme="minorHAnsi" w:eastAsiaTheme="minorEastAsia" w:hAnsiTheme="minorHAnsi" w:cstheme="minorBidi"/>
          <w:smallCaps w:val="0"/>
          <w:sz w:val="22"/>
          <w:szCs w:val="22"/>
          <w:lang w:val="en-IN" w:eastAsia="en-IN"/>
        </w:rPr>
      </w:pPr>
      <w:hyperlink w:anchor="_Toc523724488" w:history="1">
        <w:r w:rsidR="006A7E48" w:rsidRPr="00C458EF">
          <w:rPr>
            <w:rStyle w:val="Hyperlink"/>
            <w:rFonts w:cs="Calibri"/>
            <w:snapToGrid w:val="0"/>
            <w:w w:val="0"/>
          </w:rPr>
          <w:t>5.1</w:t>
        </w:r>
        <w:r w:rsidR="006A7E48">
          <w:rPr>
            <w:rFonts w:asciiTheme="minorHAnsi" w:eastAsiaTheme="minorEastAsia" w:hAnsiTheme="minorHAnsi" w:cstheme="minorBidi"/>
            <w:smallCaps w:val="0"/>
            <w:sz w:val="22"/>
            <w:szCs w:val="22"/>
            <w:lang w:val="en-IN" w:eastAsia="en-IN"/>
          </w:rPr>
          <w:tab/>
        </w:r>
        <w:r w:rsidR="006A7E48" w:rsidRPr="00C458EF">
          <w:rPr>
            <w:rStyle w:val="Hyperlink"/>
          </w:rPr>
          <w:t>Energy Requirement</w:t>
        </w:r>
        <w:r w:rsidR="006A7E48">
          <w:rPr>
            <w:webHidden/>
          </w:rPr>
          <w:tab/>
        </w:r>
        <w:r>
          <w:rPr>
            <w:webHidden/>
          </w:rPr>
          <w:fldChar w:fldCharType="begin"/>
        </w:r>
        <w:r w:rsidR="006A7E48">
          <w:rPr>
            <w:webHidden/>
          </w:rPr>
          <w:instrText xml:space="preserve"> PAGEREF _Toc523724488 \h </w:instrText>
        </w:r>
        <w:r>
          <w:rPr>
            <w:webHidden/>
          </w:rPr>
        </w:r>
        <w:r>
          <w:rPr>
            <w:webHidden/>
          </w:rPr>
          <w:fldChar w:fldCharType="separate"/>
        </w:r>
        <w:r w:rsidR="004B7EE5">
          <w:rPr>
            <w:webHidden/>
          </w:rPr>
          <w:t>38</w:t>
        </w:r>
        <w:r>
          <w:rPr>
            <w:webHidden/>
          </w:rPr>
          <w:fldChar w:fldCharType="end"/>
        </w:r>
      </w:hyperlink>
    </w:p>
    <w:p w:rsidR="006A7E48" w:rsidRDefault="00140E1B">
      <w:pPr>
        <w:pStyle w:val="TOC2"/>
        <w:rPr>
          <w:rFonts w:asciiTheme="minorHAnsi" w:eastAsiaTheme="minorEastAsia" w:hAnsiTheme="minorHAnsi" w:cstheme="minorBidi"/>
          <w:smallCaps w:val="0"/>
          <w:sz w:val="22"/>
          <w:szCs w:val="22"/>
          <w:lang w:val="en-IN" w:eastAsia="en-IN"/>
        </w:rPr>
      </w:pPr>
      <w:hyperlink w:anchor="_Toc523724489" w:history="1">
        <w:r w:rsidR="006A7E48" w:rsidRPr="00C458EF">
          <w:rPr>
            <w:rStyle w:val="Hyperlink"/>
            <w:rFonts w:cs="Calibri"/>
            <w:snapToGrid w:val="0"/>
            <w:w w:val="0"/>
          </w:rPr>
          <w:t>5.2</w:t>
        </w:r>
        <w:r w:rsidR="006A7E48">
          <w:rPr>
            <w:rFonts w:asciiTheme="minorHAnsi" w:eastAsiaTheme="minorEastAsia" w:hAnsiTheme="minorHAnsi" w:cstheme="minorBidi"/>
            <w:smallCaps w:val="0"/>
            <w:sz w:val="22"/>
            <w:szCs w:val="22"/>
            <w:lang w:val="en-IN" w:eastAsia="en-IN"/>
          </w:rPr>
          <w:tab/>
        </w:r>
        <w:r w:rsidR="006A7E48" w:rsidRPr="00C458EF">
          <w:rPr>
            <w:rStyle w:val="Hyperlink"/>
          </w:rPr>
          <w:t>Power Purchase Plan</w:t>
        </w:r>
        <w:r w:rsidR="006A7E48">
          <w:rPr>
            <w:webHidden/>
          </w:rPr>
          <w:tab/>
        </w:r>
        <w:r>
          <w:rPr>
            <w:webHidden/>
          </w:rPr>
          <w:fldChar w:fldCharType="begin"/>
        </w:r>
        <w:r w:rsidR="006A7E48">
          <w:rPr>
            <w:webHidden/>
          </w:rPr>
          <w:instrText xml:space="preserve"> PAGEREF _Toc523724489 \h </w:instrText>
        </w:r>
        <w:r>
          <w:rPr>
            <w:webHidden/>
          </w:rPr>
        </w:r>
        <w:r>
          <w:rPr>
            <w:webHidden/>
          </w:rPr>
          <w:fldChar w:fldCharType="separate"/>
        </w:r>
        <w:r w:rsidR="004B7EE5">
          <w:rPr>
            <w:webHidden/>
          </w:rPr>
          <w:t>38</w:t>
        </w:r>
        <w:r>
          <w:rPr>
            <w:webHidden/>
          </w:rPr>
          <w:fldChar w:fldCharType="end"/>
        </w:r>
      </w:hyperlink>
    </w:p>
    <w:p w:rsidR="006A7E48" w:rsidRDefault="00140E1B">
      <w:pPr>
        <w:pStyle w:val="TOC2"/>
        <w:rPr>
          <w:rFonts w:asciiTheme="minorHAnsi" w:eastAsiaTheme="minorEastAsia" w:hAnsiTheme="minorHAnsi" w:cstheme="minorBidi"/>
          <w:smallCaps w:val="0"/>
          <w:sz w:val="22"/>
          <w:szCs w:val="22"/>
          <w:lang w:val="en-IN" w:eastAsia="en-IN"/>
        </w:rPr>
      </w:pPr>
      <w:hyperlink w:anchor="_Toc523724490" w:history="1">
        <w:r w:rsidR="006A7E48" w:rsidRPr="00C458EF">
          <w:rPr>
            <w:rStyle w:val="Hyperlink"/>
            <w:rFonts w:cs="Calibri"/>
            <w:snapToGrid w:val="0"/>
            <w:w w:val="0"/>
          </w:rPr>
          <w:t>5.3</w:t>
        </w:r>
        <w:r w:rsidR="006A7E48">
          <w:rPr>
            <w:rFonts w:asciiTheme="minorHAnsi" w:eastAsiaTheme="minorEastAsia" w:hAnsiTheme="minorHAnsi" w:cstheme="minorBidi"/>
            <w:smallCaps w:val="0"/>
            <w:sz w:val="22"/>
            <w:szCs w:val="22"/>
            <w:lang w:val="en-IN" w:eastAsia="en-IN"/>
          </w:rPr>
          <w:tab/>
        </w:r>
        <w:r w:rsidR="006A7E48" w:rsidRPr="00C458EF">
          <w:rPr>
            <w:rStyle w:val="Hyperlink"/>
          </w:rPr>
          <w:t>Renewable Purchase Obligations</w:t>
        </w:r>
        <w:r w:rsidR="006A7E48">
          <w:rPr>
            <w:webHidden/>
          </w:rPr>
          <w:tab/>
        </w:r>
        <w:r>
          <w:rPr>
            <w:webHidden/>
          </w:rPr>
          <w:fldChar w:fldCharType="begin"/>
        </w:r>
        <w:r w:rsidR="006A7E48">
          <w:rPr>
            <w:webHidden/>
          </w:rPr>
          <w:instrText xml:space="preserve"> PAGEREF _Toc523724490 \h </w:instrText>
        </w:r>
        <w:r>
          <w:rPr>
            <w:webHidden/>
          </w:rPr>
        </w:r>
        <w:r>
          <w:rPr>
            <w:webHidden/>
          </w:rPr>
          <w:fldChar w:fldCharType="separate"/>
        </w:r>
        <w:r w:rsidR="004B7EE5">
          <w:rPr>
            <w:webHidden/>
          </w:rPr>
          <w:t>40</w:t>
        </w:r>
        <w:r>
          <w:rPr>
            <w:webHidden/>
          </w:rPr>
          <w:fldChar w:fldCharType="end"/>
        </w:r>
      </w:hyperlink>
    </w:p>
    <w:p w:rsidR="006A7E48" w:rsidRDefault="00140E1B">
      <w:pPr>
        <w:pStyle w:val="TOC1"/>
        <w:rPr>
          <w:rFonts w:asciiTheme="minorHAnsi" w:eastAsiaTheme="minorEastAsia" w:hAnsiTheme="minorHAnsi" w:cstheme="minorBidi"/>
          <w:b w:val="0"/>
          <w:bCs w:val="0"/>
          <w:caps w:val="0"/>
          <w:sz w:val="22"/>
          <w:szCs w:val="22"/>
          <w:lang w:val="en-IN" w:eastAsia="en-IN"/>
        </w:rPr>
      </w:pPr>
      <w:hyperlink w:anchor="_Toc523724491" w:history="1">
        <w:r w:rsidR="006A7E48" w:rsidRPr="00C458EF">
          <w:rPr>
            <w:rStyle w:val="Hyperlink"/>
            <w:rFonts w:cs="Calibri"/>
          </w:rPr>
          <w:t>6.</w:t>
        </w:r>
        <w:r w:rsidR="006A7E48">
          <w:rPr>
            <w:rFonts w:asciiTheme="minorHAnsi" w:eastAsiaTheme="minorEastAsia" w:hAnsiTheme="minorHAnsi" w:cstheme="minorBidi"/>
            <w:b w:val="0"/>
            <w:bCs w:val="0"/>
            <w:caps w:val="0"/>
            <w:sz w:val="22"/>
            <w:szCs w:val="22"/>
            <w:lang w:val="en-IN" w:eastAsia="en-IN"/>
          </w:rPr>
          <w:tab/>
        </w:r>
        <w:r w:rsidR="006A7E48" w:rsidRPr="00C458EF">
          <w:rPr>
            <w:rStyle w:val="Hyperlink"/>
          </w:rPr>
          <w:t>CAPITAL EXPENDITURE</w:t>
        </w:r>
        <w:r w:rsidR="006A7E48">
          <w:rPr>
            <w:webHidden/>
          </w:rPr>
          <w:tab/>
        </w:r>
        <w:r>
          <w:rPr>
            <w:webHidden/>
          </w:rPr>
          <w:fldChar w:fldCharType="begin"/>
        </w:r>
        <w:r w:rsidR="006A7E48">
          <w:rPr>
            <w:webHidden/>
          </w:rPr>
          <w:instrText xml:space="preserve"> PAGEREF _Toc523724491 \h </w:instrText>
        </w:r>
        <w:r>
          <w:rPr>
            <w:webHidden/>
          </w:rPr>
        </w:r>
        <w:r>
          <w:rPr>
            <w:webHidden/>
          </w:rPr>
          <w:fldChar w:fldCharType="separate"/>
        </w:r>
        <w:r w:rsidR="004B7EE5">
          <w:rPr>
            <w:webHidden/>
          </w:rPr>
          <w:t>48</w:t>
        </w:r>
        <w:r>
          <w:rPr>
            <w:webHidden/>
          </w:rPr>
          <w:fldChar w:fldCharType="end"/>
        </w:r>
      </w:hyperlink>
    </w:p>
    <w:p w:rsidR="006A7E48" w:rsidRDefault="00140E1B">
      <w:pPr>
        <w:pStyle w:val="TOC2"/>
        <w:rPr>
          <w:rFonts w:asciiTheme="minorHAnsi" w:eastAsiaTheme="minorEastAsia" w:hAnsiTheme="minorHAnsi" w:cstheme="minorBidi"/>
          <w:smallCaps w:val="0"/>
          <w:sz w:val="22"/>
          <w:szCs w:val="22"/>
          <w:lang w:val="en-IN" w:eastAsia="en-IN"/>
        </w:rPr>
      </w:pPr>
      <w:hyperlink w:anchor="_Toc523724492" w:history="1">
        <w:r w:rsidR="006A7E48" w:rsidRPr="00C458EF">
          <w:rPr>
            <w:rStyle w:val="Hyperlink"/>
            <w:rFonts w:cs="Calibri"/>
            <w:snapToGrid w:val="0"/>
            <w:w w:val="0"/>
          </w:rPr>
          <w:t>6.1</w:t>
        </w:r>
        <w:r w:rsidR="006A7E48">
          <w:rPr>
            <w:rFonts w:asciiTheme="minorHAnsi" w:eastAsiaTheme="minorEastAsia" w:hAnsiTheme="minorHAnsi" w:cstheme="minorBidi"/>
            <w:smallCaps w:val="0"/>
            <w:sz w:val="22"/>
            <w:szCs w:val="22"/>
            <w:lang w:val="en-IN" w:eastAsia="en-IN"/>
          </w:rPr>
          <w:tab/>
        </w:r>
        <w:r w:rsidR="006A7E48" w:rsidRPr="00C458EF">
          <w:rPr>
            <w:rStyle w:val="Hyperlink"/>
          </w:rPr>
          <w:t>Details of Capital Expenditure</w:t>
        </w:r>
        <w:r w:rsidR="006A7E48">
          <w:rPr>
            <w:webHidden/>
          </w:rPr>
          <w:tab/>
        </w:r>
        <w:r>
          <w:rPr>
            <w:webHidden/>
          </w:rPr>
          <w:fldChar w:fldCharType="begin"/>
        </w:r>
        <w:r w:rsidR="006A7E48">
          <w:rPr>
            <w:webHidden/>
          </w:rPr>
          <w:instrText xml:space="preserve"> PAGEREF _Toc523724492 \h </w:instrText>
        </w:r>
        <w:r>
          <w:rPr>
            <w:webHidden/>
          </w:rPr>
        </w:r>
        <w:r>
          <w:rPr>
            <w:webHidden/>
          </w:rPr>
          <w:fldChar w:fldCharType="separate"/>
        </w:r>
        <w:r w:rsidR="004B7EE5">
          <w:rPr>
            <w:webHidden/>
          </w:rPr>
          <w:t>48</w:t>
        </w:r>
        <w:r>
          <w:rPr>
            <w:webHidden/>
          </w:rPr>
          <w:fldChar w:fldCharType="end"/>
        </w:r>
      </w:hyperlink>
    </w:p>
    <w:p w:rsidR="006A7E48" w:rsidRDefault="00140E1B">
      <w:pPr>
        <w:pStyle w:val="TOC2"/>
        <w:rPr>
          <w:rFonts w:asciiTheme="minorHAnsi" w:eastAsiaTheme="minorEastAsia" w:hAnsiTheme="minorHAnsi" w:cstheme="minorBidi"/>
          <w:smallCaps w:val="0"/>
          <w:sz w:val="22"/>
          <w:szCs w:val="22"/>
          <w:lang w:val="en-IN" w:eastAsia="en-IN"/>
        </w:rPr>
      </w:pPr>
      <w:hyperlink w:anchor="_Toc523724493" w:history="1">
        <w:r w:rsidR="006A7E48" w:rsidRPr="00C458EF">
          <w:rPr>
            <w:rStyle w:val="Hyperlink"/>
            <w:rFonts w:cs="Calibri"/>
            <w:snapToGrid w:val="0"/>
            <w:w w:val="0"/>
          </w:rPr>
          <w:t>6.2</w:t>
        </w:r>
        <w:r w:rsidR="006A7E48">
          <w:rPr>
            <w:rFonts w:asciiTheme="minorHAnsi" w:eastAsiaTheme="minorEastAsia" w:hAnsiTheme="minorHAnsi" w:cstheme="minorBidi"/>
            <w:smallCaps w:val="0"/>
            <w:sz w:val="22"/>
            <w:szCs w:val="22"/>
            <w:lang w:val="en-IN" w:eastAsia="en-IN"/>
          </w:rPr>
          <w:tab/>
        </w:r>
        <w:r w:rsidR="006A7E48" w:rsidRPr="00C458EF">
          <w:rPr>
            <w:rStyle w:val="Hyperlink"/>
          </w:rPr>
          <w:t>Brief overview of various schemes planned by PED</w:t>
        </w:r>
        <w:r w:rsidR="006A7E48">
          <w:rPr>
            <w:webHidden/>
          </w:rPr>
          <w:tab/>
        </w:r>
        <w:r>
          <w:rPr>
            <w:webHidden/>
          </w:rPr>
          <w:fldChar w:fldCharType="begin"/>
        </w:r>
        <w:r w:rsidR="006A7E48">
          <w:rPr>
            <w:webHidden/>
          </w:rPr>
          <w:instrText xml:space="preserve"> PAGEREF _Toc523724493 \h </w:instrText>
        </w:r>
        <w:r>
          <w:rPr>
            <w:webHidden/>
          </w:rPr>
        </w:r>
        <w:r>
          <w:rPr>
            <w:webHidden/>
          </w:rPr>
          <w:fldChar w:fldCharType="separate"/>
        </w:r>
        <w:r w:rsidR="004B7EE5">
          <w:rPr>
            <w:webHidden/>
          </w:rPr>
          <w:t>50</w:t>
        </w:r>
        <w:r>
          <w:rPr>
            <w:webHidden/>
          </w:rPr>
          <w:fldChar w:fldCharType="end"/>
        </w:r>
      </w:hyperlink>
    </w:p>
    <w:p w:rsidR="006A7E48" w:rsidRDefault="00140E1B">
      <w:pPr>
        <w:pStyle w:val="TOC2"/>
        <w:rPr>
          <w:rFonts w:asciiTheme="minorHAnsi" w:eastAsiaTheme="minorEastAsia" w:hAnsiTheme="minorHAnsi" w:cstheme="minorBidi"/>
          <w:smallCaps w:val="0"/>
          <w:sz w:val="22"/>
          <w:szCs w:val="22"/>
          <w:lang w:val="en-IN" w:eastAsia="en-IN"/>
        </w:rPr>
      </w:pPr>
      <w:hyperlink w:anchor="_Toc523724494" w:history="1">
        <w:r w:rsidR="006A7E48" w:rsidRPr="00C458EF">
          <w:rPr>
            <w:rStyle w:val="Hyperlink"/>
            <w:rFonts w:cs="Calibri"/>
            <w:snapToGrid w:val="0"/>
            <w:w w:val="0"/>
          </w:rPr>
          <w:t>6.3</w:t>
        </w:r>
        <w:r w:rsidR="006A7E48">
          <w:rPr>
            <w:rFonts w:asciiTheme="minorHAnsi" w:eastAsiaTheme="minorEastAsia" w:hAnsiTheme="minorHAnsi" w:cstheme="minorBidi"/>
            <w:smallCaps w:val="0"/>
            <w:sz w:val="22"/>
            <w:szCs w:val="22"/>
            <w:lang w:val="en-IN" w:eastAsia="en-IN"/>
          </w:rPr>
          <w:tab/>
        </w:r>
        <w:r w:rsidR="006A7E48" w:rsidRPr="00C458EF">
          <w:rPr>
            <w:rStyle w:val="Hyperlink"/>
          </w:rPr>
          <w:t>Funding of Capital Expenditure</w:t>
        </w:r>
        <w:r w:rsidR="006A7E48">
          <w:rPr>
            <w:webHidden/>
          </w:rPr>
          <w:tab/>
        </w:r>
        <w:r>
          <w:rPr>
            <w:webHidden/>
          </w:rPr>
          <w:fldChar w:fldCharType="begin"/>
        </w:r>
        <w:r w:rsidR="006A7E48">
          <w:rPr>
            <w:webHidden/>
          </w:rPr>
          <w:instrText xml:space="preserve"> PAGEREF _Toc523724494 \h </w:instrText>
        </w:r>
        <w:r>
          <w:rPr>
            <w:webHidden/>
          </w:rPr>
        </w:r>
        <w:r>
          <w:rPr>
            <w:webHidden/>
          </w:rPr>
          <w:fldChar w:fldCharType="separate"/>
        </w:r>
        <w:r w:rsidR="004B7EE5">
          <w:rPr>
            <w:webHidden/>
          </w:rPr>
          <w:t>55</w:t>
        </w:r>
        <w:r>
          <w:rPr>
            <w:webHidden/>
          </w:rPr>
          <w:fldChar w:fldCharType="end"/>
        </w:r>
      </w:hyperlink>
    </w:p>
    <w:p w:rsidR="006A7E48" w:rsidRDefault="00140E1B">
      <w:pPr>
        <w:pStyle w:val="TOC2"/>
        <w:rPr>
          <w:rFonts w:asciiTheme="minorHAnsi" w:eastAsiaTheme="minorEastAsia" w:hAnsiTheme="minorHAnsi" w:cstheme="minorBidi"/>
          <w:smallCaps w:val="0"/>
          <w:sz w:val="22"/>
          <w:szCs w:val="22"/>
          <w:lang w:val="en-IN" w:eastAsia="en-IN"/>
        </w:rPr>
      </w:pPr>
      <w:hyperlink w:anchor="_Toc523724495" w:history="1">
        <w:r w:rsidR="006A7E48" w:rsidRPr="00C458EF">
          <w:rPr>
            <w:rStyle w:val="Hyperlink"/>
            <w:rFonts w:cs="Calibri"/>
            <w:snapToGrid w:val="0"/>
            <w:w w:val="0"/>
          </w:rPr>
          <w:t>6.4</w:t>
        </w:r>
        <w:r w:rsidR="006A7E48">
          <w:rPr>
            <w:rFonts w:asciiTheme="minorHAnsi" w:eastAsiaTheme="minorEastAsia" w:hAnsiTheme="minorHAnsi" w:cstheme="minorBidi"/>
            <w:smallCaps w:val="0"/>
            <w:sz w:val="22"/>
            <w:szCs w:val="22"/>
            <w:lang w:val="en-IN" w:eastAsia="en-IN"/>
          </w:rPr>
          <w:tab/>
        </w:r>
        <w:r w:rsidR="006A7E48" w:rsidRPr="00C458EF">
          <w:rPr>
            <w:rStyle w:val="Hyperlink"/>
          </w:rPr>
          <w:t>Gross Fixed Assets</w:t>
        </w:r>
        <w:r w:rsidR="006A7E48">
          <w:rPr>
            <w:webHidden/>
          </w:rPr>
          <w:tab/>
        </w:r>
        <w:r>
          <w:rPr>
            <w:webHidden/>
          </w:rPr>
          <w:fldChar w:fldCharType="begin"/>
        </w:r>
        <w:r w:rsidR="006A7E48">
          <w:rPr>
            <w:webHidden/>
          </w:rPr>
          <w:instrText xml:space="preserve"> PAGEREF _Toc523724495 \h </w:instrText>
        </w:r>
        <w:r>
          <w:rPr>
            <w:webHidden/>
          </w:rPr>
        </w:r>
        <w:r>
          <w:rPr>
            <w:webHidden/>
          </w:rPr>
          <w:fldChar w:fldCharType="separate"/>
        </w:r>
        <w:r w:rsidR="004B7EE5">
          <w:rPr>
            <w:webHidden/>
          </w:rPr>
          <w:t>56</w:t>
        </w:r>
        <w:r>
          <w:rPr>
            <w:webHidden/>
          </w:rPr>
          <w:fldChar w:fldCharType="end"/>
        </w:r>
      </w:hyperlink>
    </w:p>
    <w:p w:rsidR="006A7E48" w:rsidRDefault="00140E1B">
      <w:pPr>
        <w:pStyle w:val="TOC1"/>
        <w:rPr>
          <w:rFonts w:asciiTheme="minorHAnsi" w:eastAsiaTheme="minorEastAsia" w:hAnsiTheme="minorHAnsi" w:cstheme="minorBidi"/>
          <w:b w:val="0"/>
          <w:bCs w:val="0"/>
          <w:caps w:val="0"/>
          <w:sz w:val="22"/>
          <w:szCs w:val="22"/>
          <w:lang w:val="en-IN" w:eastAsia="en-IN"/>
        </w:rPr>
      </w:pPr>
      <w:hyperlink w:anchor="_Toc523724496" w:history="1">
        <w:r w:rsidR="006A7E48" w:rsidRPr="00C458EF">
          <w:rPr>
            <w:rStyle w:val="Hyperlink"/>
            <w:rFonts w:cs="Calibri"/>
          </w:rPr>
          <w:t>7.</w:t>
        </w:r>
        <w:r w:rsidR="006A7E48">
          <w:rPr>
            <w:rFonts w:asciiTheme="minorHAnsi" w:eastAsiaTheme="minorEastAsia" w:hAnsiTheme="minorHAnsi" w:cstheme="minorBidi"/>
            <w:b w:val="0"/>
            <w:bCs w:val="0"/>
            <w:caps w:val="0"/>
            <w:sz w:val="22"/>
            <w:szCs w:val="22"/>
            <w:lang w:val="en-IN" w:eastAsia="en-IN"/>
          </w:rPr>
          <w:tab/>
        </w:r>
        <w:r w:rsidR="006A7E48" w:rsidRPr="00C458EF">
          <w:rPr>
            <w:rStyle w:val="Hyperlink"/>
          </w:rPr>
          <w:t>No. of employees</w:t>
        </w:r>
        <w:r w:rsidR="006A7E48">
          <w:rPr>
            <w:webHidden/>
          </w:rPr>
          <w:tab/>
        </w:r>
        <w:r>
          <w:rPr>
            <w:webHidden/>
          </w:rPr>
          <w:fldChar w:fldCharType="begin"/>
        </w:r>
        <w:r w:rsidR="006A7E48">
          <w:rPr>
            <w:webHidden/>
          </w:rPr>
          <w:instrText xml:space="preserve"> PAGEREF _Toc523724496 \h </w:instrText>
        </w:r>
        <w:r>
          <w:rPr>
            <w:webHidden/>
          </w:rPr>
        </w:r>
        <w:r>
          <w:rPr>
            <w:webHidden/>
          </w:rPr>
          <w:fldChar w:fldCharType="separate"/>
        </w:r>
        <w:r w:rsidR="004B7EE5">
          <w:rPr>
            <w:webHidden/>
          </w:rPr>
          <w:t>58</w:t>
        </w:r>
        <w:r>
          <w:rPr>
            <w:webHidden/>
          </w:rPr>
          <w:fldChar w:fldCharType="end"/>
        </w:r>
      </w:hyperlink>
    </w:p>
    <w:p w:rsidR="006A7E48" w:rsidRDefault="00140E1B">
      <w:pPr>
        <w:pStyle w:val="TOC2"/>
        <w:rPr>
          <w:rFonts w:asciiTheme="minorHAnsi" w:eastAsiaTheme="minorEastAsia" w:hAnsiTheme="minorHAnsi" w:cstheme="minorBidi"/>
          <w:smallCaps w:val="0"/>
          <w:sz w:val="22"/>
          <w:szCs w:val="22"/>
          <w:lang w:val="en-IN" w:eastAsia="en-IN"/>
        </w:rPr>
      </w:pPr>
      <w:hyperlink w:anchor="_Toc523724497" w:history="1">
        <w:r w:rsidR="006A7E48" w:rsidRPr="00C458EF">
          <w:rPr>
            <w:rStyle w:val="Hyperlink"/>
            <w:rFonts w:cs="Calibri"/>
            <w:snapToGrid w:val="0"/>
            <w:w w:val="0"/>
          </w:rPr>
          <w:t>7.1</w:t>
        </w:r>
        <w:r w:rsidR="006A7E48">
          <w:rPr>
            <w:rFonts w:asciiTheme="minorHAnsi" w:eastAsiaTheme="minorEastAsia" w:hAnsiTheme="minorHAnsi" w:cstheme="minorBidi"/>
            <w:smallCaps w:val="0"/>
            <w:sz w:val="22"/>
            <w:szCs w:val="22"/>
            <w:lang w:val="en-IN" w:eastAsia="en-IN"/>
          </w:rPr>
          <w:tab/>
        </w:r>
        <w:r w:rsidR="006A7E48" w:rsidRPr="00C458EF">
          <w:rPr>
            <w:rStyle w:val="Hyperlink"/>
          </w:rPr>
          <w:t>No. of Employees</w:t>
        </w:r>
        <w:r w:rsidR="006A7E48">
          <w:rPr>
            <w:webHidden/>
          </w:rPr>
          <w:tab/>
        </w:r>
        <w:r>
          <w:rPr>
            <w:webHidden/>
          </w:rPr>
          <w:fldChar w:fldCharType="begin"/>
        </w:r>
        <w:r w:rsidR="006A7E48">
          <w:rPr>
            <w:webHidden/>
          </w:rPr>
          <w:instrText xml:space="preserve"> PAGEREF _Toc523724497 \h </w:instrText>
        </w:r>
        <w:r>
          <w:rPr>
            <w:webHidden/>
          </w:rPr>
        </w:r>
        <w:r>
          <w:rPr>
            <w:webHidden/>
          </w:rPr>
          <w:fldChar w:fldCharType="separate"/>
        </w:r>
        <w:r w:rsidR="004B7EE5">
          <w:rPr>
            <w:webHidden/>
          </w:rPr>
          <w:t>58</w:t>
        </w:r>
        <w:r>
          <w:rPr>
            <w:webHidden/>
          </w:rPr>
          <w:fldChar w:fldCharType="end"/>
        </w:r>
      </w:hyperlink>
    </w:p>
    <w:p w:rsidR="006A7E48" w:rsidRDefault="00140E1B">
      <w:pPr>
        <w:pStyle w:val="TOC1"/>
        <w:rPr>
          <w:rFonts w:asciiTheme="minorHAnsi" w:eastAsiaTheme="minorEastAsia" w:hAnsiTheme="minorHAnsi" w:cstheme="minorBidi"/>
          <w:b w:val="0"/>
          <w:bCs w:val="0"/>
          <w:caps w:val="0"/>
          <w:sz w:val="22"/>
          <w:szCs w:val="22"/>
          <w:lang w:val="en-IN" w:eastAsia="en-IN"/>
        </w:rPr>
      </w:pPr>
      <w:hyperlink w:anchor="_Toc523724498" w:history="1">
        <w:r w:rsidR="006A7E48" w:rsidRPr="00C458EF">
          <w:rPr>
            <w:rStyle w:val="Hyperlink"/>
            <w:rFonts w:cs="Calibri"/>
          </w:rPr>
          <w:t>8.</w:t>
        </w:r>
        <w:r w:rsidR="006A7E48">
          <w:rPr>
            <w:rFonts w:asciiTheme="minorHAnsi" w:eastAsiaTheme="minorEastAsia" w:hAnsiTheme="minorHAnsi" w:cstheme="minorBidi"/>
            <w:b w:val="0"/>
            <w:bCs w:val="0"/>
            <w:caps w:val="0"/>
            <w:sz w:val="22"/>
            <w:szCs w:val="22"/>
            <w:lang w:val="en-IN" w:eastAsia="en-IN"/>
          </w:rPr>
          <w:tab/>
        </w:r>
        <w:r w:rsidR="006A7E48" w:rsidRPr="00C458EF">
          <w:rPr>
            <w:rStyle w:val="Hyperlink"/>
          </w:rPr>
          <w:t>Distribution wire business &amp; retail supply business</w:t>
        </w:r>
        <w:r w:rsidR="006A7E48">
          <w:rPr>
            <w:webHidden/>
          </w:rPr>
          <w:tab/>
        </w:r>
        <w:r>
          <w:rPr>
            <w:webHidden/>
          </w:rPr>
          <w:fldChar w:fldCharType="begin"/>
        </w:r>
        <w:r w:rsidR="006A7E48">
          <w:rPr>
            <w:webHidden/>
          </w:rPr>
          <w:instrText xml:space="preserve"> PAGEREF _Toc523724498 \h </w:instrText>
        </w:r>
        <w:r>
          <w:rPr>
            <w:webHidden/>
          </w:rPr>
        </w:r>
        <w:r>
          <w:rPr>
            <w:webHidden/>
          </w:rPr>
          <w:fldChar w:fldCharType="separate"/>
        </w:r>
        <w:r w:rsidR="004B7EE5">
          <w:rPr>
            <w:webHidden/>
          </w:rPr>
          <w:t>59</w:t>
        </w:r>
        <w:r>
          <w:rPr>
            <w:webHidden/>
          </w:rPr>
          <w:fldChar w:fldCharType="end"/>
        </w:r>
      </w:hyperlink>
    </w:p>
    <w:p w:rsidR="006A7E48" w:rsidRDefault="00140E1B">
      <w:pPr>
        <w:pStyle w:val="TOC2"/>
        <w:rPr>
          <w:rFonts w:asciiTheme="minorHAnsi" w:eastAsiaTheme="minorEastAsia" w:hAnsiTheme="minorHAnsi" w:cstheme="minorBidi"/>
          <w:smallCaps w:val="0"/>
          <w:sz w:val="22"/>
          <w:szCs w:val="22"/>
          <w:lang w:val="en-IN" w:eastAsia="en-IN"/>
        </w:rPr>
      </w:pPr>
      <w:hyperlink w:anchor="_Toc523724499" w:history="1">
        <w:r w:rsidR="006A7E48" w:rsidRPr="00C458EF">
          <w:rPr>
            <w:rStyle w:val="Hyperlink"/>
            <w:rFonts w:cs="Calibri"/>
            <w:snapToGrid w:val="0"/>
            <w:w w:val="0"/>
          </w:rPr>
          <w:t>8.1</w:t>
        </w:r>
        <w:r w:rsidR="006A7E48">
          <w:rPr>
            <w:rFonts w:asciiTheme="minorHAnsi" w:eastAsiaTheme="minorEastAsia" w:hAnsiTheme="minorHAnsi" w:cstheme="minorBidi"/>
            <w:smallCaps w:val="0"/>
            <w:sz w:val="22"/>
            <w:szCs w:val="22"/>
            <w:lang w:val="en-IN" w:eastAsia="en-IN"/>
          </w:rPr>
          <w:tab/>
        </w:r>
        <w:r w:rsidR="006A7E48" w:rsidRPr="00C458EF">
          <w:rPr>
            <w:rStyle w:val="Hyperlink"/>
          </w:rPr>
          <w:t>Business Plan for Distribution Wire Business</w:t>
        </w:r>
        <w:r w:rsidR="006A7E48">
          <w:rPr>
            <w:webHidden/>
          </w:rPr>
          <w:tab/>
        </w:r>
        <w:r>
          <w:rPr>
            <w:webHidden/>
          </w:rPr>
          <w:fldChar w:fldCharType="begin"/>
        </w:r>
        <w:r w:rsidR="006A7E48">
          <w:rPr>
            <w:webHidden/>
          </w:rPr>
          <w:instrText xml:space="preserve"> PAGEREF _Toc523724499 \h </w:instrText>
        </w:r>
        <w:r>
          <w:rPr>
            <w:webHidden/>
          </w:rPr>
        </w:r>
        <w:r>
          <w:rPr>
            <w:webHidden/>
          </w:rPr>
          <w:fldChar w:fldCharType="separate"/>
        </w:r>
        <w:r w:rsidR="004B7EE5">
          <w:rPr>
            <w:webHidden/>
          </w:rPr>
          <w:t>60</w:t>
        </w:r>
        <w:r>
          <w:rPr>
            <w:webHidden/>
          </w:rPr>
          <w:fldChar w:fldCharType="end"/>
        </w:r>
      </w:hyperlink>
    </w:p>
    <w:p w:rsidR="006A7E48" w:rsidRDefault="00140E1B">
      <w:pPr>
        <w:pStyle w:val="TOC2"/>
        <w:rPr>
          <w:rFonts w:asciiTheme="minorHAnsi" w:eastAsiaTheme="minorEastAsia" w:hAnsiTheme="minorHAnsi" w:cstheme="minorBidi"/>
          <w:smallCaps w:val="0"/>
          <w:sz w:val="22"/>
          <w:szCs w:val="22"/>
          <w:lang w:val="en-IN" w:eastAsia="en-IN"/>
        </w:rPr>
      </w:pPr>
      <w:hyperlink w:anchor="_Toc523724500" w:history="1">
        <w:r w:rsidR="006A7E48" w:rsidRPr="00C458EF">
          <w:rPr>
            <w:rStyle w:val="Hyperlink"/>
            <w:rFonts w:cs="Calibri"/>
            <w:snapToGrid w:val="0"/>
            <w:w w:val="0"/>
          </w:rPr>
          <w:t>8.2</w:t>
        </w:r>
        <w:r w:rsidR="006A7E48">
          <w:rPr>
            <w:rFonts w:asciiTheme="minorHAnsi" w:eastAsiaTheme="minorEastAsia" w:hAnsiTheme="minorHAnsi" w:cstheme="minorBidi"/>
            <w:smallCaps w:val="0"/>
            <w:sz w:val="22"/>
            <w:szCs w:val="22"/>
            <w:lang w:val="en-IN" w:eastAsia="en-IN"/>
          </w:rPr>
          <w:tab/>
        </w:r>
        <w:r w:rsidR="006A7E48" w:rsidRPr="00C458EF">
          <w:rPr>
            <w:rStyle w:val="Hyperlink"/>
          </w:rPr>
          <w:t>Business Plan for Retail Supply Business</w:t>
        </w:r>
        <w:r w:rsidR="006A7E48">
          <w:rPr>
            <w:webHidden/>
          </w:rPr>
          <w:tab/>
        </w:r>
        <w:r>
          <w:rPr>
            <w:webHidden/>
          </w:rPr>
          <w:fldChar w:fldCharType="begin"/>
        </w:r>
        <w:r w:rsidR="006A7E48">
          <w:rPr>
            <w:webHidden/>
          </w:rPr>
          <w:instrText xml:space="preserve"> PAGEREF _Toc523724500 \h </w:instrText>
        </w:r>
        <w:r>
          <w:rPr>
            <w:webHidden/>
          </w:rPr>
        </w:r>
        <w:r>
          <w:rPr>
            <w:webHidden/>
          </w:rPr>
          <w:fldChar w:fldCharType="separate"/>
        </w:r>
        <w:r w:rsidR="004B7EE5">
          <w:rPr>
            <w:webHidden/>
          </w:rPr>
          <w:t>60</w:t>
        </w:r>
        <w:r>
          <w:rPr>
            <w:webHidden/>
          </w:rPr>
          <w:fldChar w:fldCharType="end"/>
        </w:r>
      </w:hyperlink>
    </w:p>
    <w:p w:rsidR="006A7E48" w:rsidRDefault="00140E1B">
      <w:pPr>
        <w:pStyle w:val="TOC1"/>
        <w:rPr>
          <w:rFonts w:asciiTheme="minorHAnsi" w:eastAsiaTheme="minorEastAsia" w:hAnsiTheme="minorHAnsi" w:cstheme="minorBidi"/>
          <w:b w:val="0"/>
          <w:bCs w:val="0"/>
          <w:caps w:val="0"/>
          <w:sz w:val="22"/>
          <w:szCs w:val="22"/>
          <w:lang w:val="en-IN" w:eastAsia="en-IN"/>
        </w:rPr>
      </w:pPr>
      <w:hyperlink w:anchor="_Toc523724501" w:history="1">
        <w:r w:rsidR="006A7E48" w:rsidRPr="00C458EF">
          <w:rPr>
            <w:rStyle w:val="Hyperlink"/>
            <w:rFonts w:cs="Calibri"/>
          </w:rPr>
          <w:t>9.</w:t>
        </w:r>
        <w:r w:rsidR="006A7E48">
          <w:rPr>
            <w:rFonts w:asciiTheme="minorHAnsi" w:eastAsiaTheme="minorEastAsia" w:hAnsiTheme="minorHAnsi" w:cstheme="minorBidi"/>
            <w:b w:val="0"/>
            <w:bCs w:val="0"/>
            <w:caps w:val="0"/>
            <w:sz w:val="22"/>
            <w:szCs w:val="22"/>
            <w:lang w:val="en-IN" w:eastAsia="en-IN"/>
          </w:rPr>
          <w:tab/>
        </w:r>
        <w:r w:rsidR="006A7E48" w:rsidRPr="00C458EF">
          <w:rPr>
            <w:rStyle w:val="Hyperlink"/>
          </w:rPr>
          <w:t>PRAYERS to Commission</w:t>
        </w:r>
        <w:r w:rsidR="006A7E48">
          <w:rPr>
            <w:webHidden/>
          </w:rPr>
          <w:tab/>
        </w:r>
        <w:r>
          <w:rPr>
            <w:webHidden/>
          </w:rPr>
          <w:fldChar w:fldCharType="begin"/>
        </w:r>
        <w:r w:rsidR="006A7E48">
          <w:rPr>
            <w:webHidden/>
          </w:rPr>
          <w:instrText xml:space="preserve"> PAGEREF _Toc523724501 \h </w:instrText>
        </w:r>
        <w:r>
          <w:rPr>
            <w:webHidden/>
          </w:rPr>
        </w:r>
        <w:r>
          <w:rPr>
            <w:webHidden/>
          </w:rPr>
          <w:fldChar w:fldCharType="separate"/>
        </w:r>
        <w:r w:rsidR="004B7EE5">
          <w:rPr>
            <w:webHidden/>
          </w:rPr>
          <w:t>62</w:t>
        </w:r>
        <w:r>
          <w:rPr>
            <w:webHidden/>
          </w:rPr>
          <w:fldChar w:fldCharType="end"/>
        </w:r>
      </w:hyperlink>
    </w:p>
    <w:p w:rsidR="00F3008E" w:rsidRDefault="00140E1B" w:rsidP="00245131">
      <w:pPr>
        <w:jc w:val="center"/>
        <w:rPr>
          <w:rFonts w:asciiTheme="minorHAnsi" w:hAnsiTheme="minorHAnsi" w:cstheme="minorHAnsi"/>
          <w:b/>
          <w:sz w:val="22"/>
          <w:szCs w:val="22"/>
        </w:rPr>
      </w:pPr>
      <w:r w:rsidRPr="00F3008E">
        <w:rPr>
          <w:rFonts w:asciiTheme="minorHAnsi" w:hAnsiTheme="minorHAnsi" w:cstheme="minorHAnsi"/>
          <w:b/>
          <w:sz w:val="22"/>
          <w:szCs w:val="22"/>
        </w:rPr>
        <w:fldChar w:fldCharType="end"/>
      </w:r>
    </w:p>
    <w:p w:rsidR="00DC3153" w:rsidRDefault="00DC3153" w:rsidP="00245131">
      <w:pPr>
        <w:jc w:val="center"/>
        <w:rPr>
          <w:b/>
        </w:rPr>
      </w:pPr>
      <w:r w:rsidRPr="00DC3153">
        <w:rPr>
          <w:b/>
        </w:rPr>
        <w:t>TABLE OF FIGURES</w:t>
      </w:r>
    </w:p>
    <w:p w:rsidR="00246492" w:rsidRDefault="00246492" w:rsidP="00245131">
      <w:pPr>
        <w:jc w:val="center"/>
        <w:rPr>
          <w:b/>
        </w:rPr>
      </w:pPr>
    </w:p>
    <w:p w:rsidR="00C17810" w:rsidRDefault="00140E1B">
      <w:pPr>
        <w:pStyle w:val="TableofFigures"/>
        <w:tabs>
          <w:tab w:val="right" w:leader="dot" w:pos="9019"/>
        </w:tabs>
        <w:rPr>
          <w:rFonts w:asciiTheme="minorHAnsi" w:eastAsiaTheme="minorEastAsia" w:hAnsiTheme="minorHAnsi" w:cstheme="minorBidi"/>
          <w:caps w:val="0"/>
          <w:noProof/>
          <w:sz w:val="22"/>
          <w:szCs w:val="22"/>
          <w:lang w:val="en-IN" w:eastAsia="en-IN"/>
        </w:rPr>
      </w:pPr>
      <w:r w:rsidRPr="00140E1B">
        <w:rPr>
          <w:b/>
        </w:rPr>
        <w:fldChar w:fldCharType="begin"/>
      </w:r>
      <w:r w:rsidR="00DC3153">
        <w:rPr>
          <w:b/>
        </w:rPr>
        <w:instrText xml:space="preserve"> TOC \h \z \c "Figure" </w:instrText>
      </w:r>
      <w:r w:rsidRPr="00140E1B">
        <w:rPr>
          <w:b/>
        </w:rPr>
        <w:fldChar w:fldCharType="separate"/>
      </w:r>
      <w:hyperlink w:anchor="_Toc523725616" w:history="1">
        <w:r w:rsidR="00C17810" w:rsidRPr="000E4116">
          <w:rPr>
            <w:rStyle w:val="Hyperlink"/>
            <w:noProof/>
          </w:rPr>
          <w:t>Figure 1</w:t>
        </w:r>
        <w:r w:rsidR="00C17810" w:rsidRPr="000E4116">
          <w:rPr>
            <w:rStyle w:val="Hyperlink"/>
            <w:rFonts w:eastAsia="Calibri"/>
            <w:noProof/>
          </w:rPr>
          <w:t>: Union Territory of Puducherry</w:t>
        </w:r>
        <w:r w:rsidR="00C17810">
          <w:rPr>
            <w:noProof/>
            <w:webHidden/>
          </w:rPr>
          <w:tab/>
        </w:r>
        <w:r>
          <w:rPr>
            <w:noProof/>
            <w:webHidden/>
          </w:rPr>
          <w:fldChar w:fldCharType="begin"/>
        </w:r>
        <w:r w:rsidR="00C17810">
          <w:rPr>
            <w:noProof/>
            <w:webHidden/>
          </w:rPr>
          <w:instrText xml:space="preserve"> PAGEREF _Toc523725616 \h </w:instrText>
        </w:r>
        <w:r>
          <w:rPr>
            <w:noProof/>
            <w:webHidden/>
          </w:rPr>
        </w:r>
        <w:r>
          <w:rPr>
            <w:noProof/>
            <w:webHidden/>
          </w:rPr>
          <w:fldChar w:fldCharType="separate"/>
        </w:r>
        <w:r w:rsidR="004B7EE5">
          <w:rPr>
            <w:noProof/>
            <w:webHidden/>
          </w:rPr>
          <w:t>1</w:t>
        </w:r>
        <w:r>
          <w:rPr>
            <w:noProof/>
            <w:webHidden/>
          </w:rPr>
          <w:fldChar w:fldCharType="end"/>
        </w:r>
      </w:hyperlink>
    </w:p>
    <w:p w:rsidR="00C17810" w:rsidRDefault="00140E1B">
      <w:pPr>
        <w:pStyle w:val="TableofFigures"/>
        <w:tabs>
          <w:tab w:val="right" w:leader="dot" w:pos="9019"/>
        </w:tabs>
        <w:rPr>
          <w:rFonts w:asciiTheme="minorHAnsi" w:eastAsiaTheme="minorEastAsia" w:hAnsiTheme="minorHAnsi" w:cstheme="minorBidi"/>
          <w:caps w:val="0"/>
          <w:noProof/>
          <w:sz w:val="22"/>
          <w:szCs w:val="22"/>
          <w:lang w:val="en-IN" w:eastAsia="en-IN"/>
        </w:rPr>
      </w:pPr>
      <w:hyperlink w:anchor="_Toc523725617" w:history="1">
        <w:r w:rsidR="00C17810" w:rsidRPr="000E4116">
          <w:rPr>
            <w:rStyle w:val="Hyperlink"/>
            <w:noProof/>
          </w:rPr>
          <w:t>Figure 2</w:t>
        </w:r>
        <w:r w:rsidR="00C17810" w:rsidRPr="000E4116">
          <w:rPr>
            <w:rStyle w:val="Hyperlink"/>
            <w:rFonts w:eastAsia="Calibri"/>
            <w:noProof/>
          </w:rPr>
          <w:t>: Power Supply Position in Puducherry (MW)</w:t>
        </w:r>
        <w:r w:rsidR="00C17810">
          <w:rPr>
            <w:noProof/>
            <w:webHidden/>
          </w:rPr>
          <w:tab/>
        </w:r>
        <w:r>
          <w:rPr>
            <w:noProof/>
            <w:webHidden/>
          </w:rPr>
          <w:fldChar w:fldCharType="begin"/>
        </w:r>
        <w:r w:rsidR="00C17810">
          <w:rPr>
            <w:noProof/>
            <w:webHidden/>
          </w:rPr>
          <w:instrText xml:space="preserve"> PAGEREF _Toc523725617 \h </w:instrText>
        </w:r>
        <w:r>
          <w:rPr>
            <w:noProof/>
            <w:webHidden/>
          </w:rPr>
        </w:r>
        <w:r>
          <w:rPr>
            <w:noProof/>
            <w:webHidden/>
          </w:rPr>
          <w:fldChar w:fldCharType="separate"/>
        </w:r>
        <w:r w:rsidR="004B7EE5">
          <w:rPr>
            <w:noProof/>
            <w:webHidden/>
          </w:rPr>
          <w:t>2</w:t>
        </w:r>
        <w:r>
          <w:rPr>
            <w:noProof/>
            <w:webHidden/>
          </w:rPr>
          <w:fldChar w:fldCharType="end"/>
        </w:r>
      </w:hyperlink>
    </w:p>
    <w:p w:rsidR="00C17810" w:rsidRDefault="00140E1B">
      <w:pPr>
        <w:pStyle w:val="TableofFigures"/>
        <w:tabs>
          <w:tab w:val="right" w:leader="dot" w:pos="9019"/>
        </w:tabs>
        <w:rPr>
          <w:rFonts w:asciiTheme="minorHAnsi" w:eastAsiaTheme="minorEastAsia" w:hAnsiTheme="minorHAnsi" w:cstheme="minorBidi"/>
          <w:caps w:val="0"/>
          <w:noProof/>
          <w:sz w:val="22"/>
          <w:szCs w:val="22"/>
          <w:lang w:val="en-IN" w:eastAsia="en-IN"/>
        </w:rPr>
      </w:pPr>
      <w:hyperlink w:anchor="_Toc523725618" w:history="1">
        <w:r w:rsidR="00C17810" w:rsidRPr="000E4116">
          <w:rPr>
            <w:rStyle w:val="Hyperlink"/>
            <w:noProof/>
          </w:rPr>
          <w:t>Figure 3: Peak demand in FY 2016-17 (MW)</w:t>
        </w:r>
        <w:r w:rsidR="00C17810">
          <w:rPr>
            <w:noProof/>
            <w:webHidden/>
          </w:rPr>
          <w:tab/>
        </w:r>
        <w:r>
          <w:rPr>
            <w:noProof/>
            <w:webHidden/>
          </w:rPr>
          <w:fldChar w:fldCharType="begin"/>
        </w:r>
        <w:r w:rsidR="00C17810">
          <w:rPr>
            <w:noProof/>
            <w:webHidden/>
          </w:rPr>
          <w:instrText xml:space="preserve"> PAGEREF _Toc523725618 \h </w:instrText>
        </w:r>
        <w:r>
          <w:rPr>
            <w:noProof/>
            <w:webHidden/>
          </w:rPr>
        </w:r>
        <w:r>
          <w:rPr>
            <w:noProof/>
            <w:webHidden/>
          </w:rPr>
          <w:fldChar w:fldCharType="separate"/>
        </w:r>
        <w:r w:rsidR="004B7EE5">
          <w:rPr>
            <w:noProof/>
            <w:webHidden/>
          </w:rPr>
          <w:t>10</w:t>
        </w:r>
        <w:r>
          <w:rPr>
            <w:noProof/>
            <w:webHidden/>
          </w:rPr>
          <w:fldChar w:fldCharType="end"/>
        </w:r>
      </w:hyperlink>
    </w:p>
    <w:p w:rsidR="00C17810" w:rsidRDefault="00140E1B">
      <w:pPr>
        <w:pStyle w:val="TableofFigures"/>
        <w:tabs>
          <w:tab w:val="right" w:leader="dot" w:pos="9019"/>
        </w:tabs>
        <w:rPr>
          <w:rFonts w:asciiTheme="minorHAnsi" w:eastAsiaTheme="minorEastAsia" w:hAnsiTheme="minorHAnsi" w:cstheme="minorBidi"/>
          <w:caps w:val="0"/>
          <w:noProof/>
          <w:sz w:val="22"/>
          <w:szCs w:val="22"/>
          <w:lang w:val="en-IN" w:eastAsia="en-IN"/>
        </w:rPr>
      </w:pPr>
      <w:hyperlink w:anchor="_Toc523725619" w:history="1">
        <w:r w:rsidR="00C17810" w:rsidRPr="000E4116">
          <w:rPr>
            <w:rStyle w:val="Hyperlink"/>
            <w:noProof/>
          </w:rPr>
          <w:t>Figure 4: Peak demand in FY 2017-18 (MW)</w:t>
        </w:r>
        <w:r w:rsidR="00C17810">
          <w:rPr>
            <w:noProof/>
            <w:webHidden/>
          </w:rPr>
          <w:tab/>
        </w:r>
        <w:r>
          <w:rPr>
            <w:noProof/>
            <w:webHidden/>
          </w:rPr>
          <w:fldChar w:fldCharType="begin"/>
        </w:r>
        <w:r w:rsidR="00C17810">
          <w:rPr>
            <w:noProof/>
            <w:webHidden/>
          </w:rPr>
          <w:instrText xml:space="preserve"> PAGEREF _Toc523725619 \h </w:instrText>
        </w:r>
        <w:r>
          <w:rPr>
            <w:noProof/>
            <w:webHidden/>
          </w:rPr>
        </w:r>
        <w:r>
          <w:rPr>
            <w:noProof/>
            <w:webHidden/>
          </w:rPr>
          <w:fldChar w:fldCharType="separate"/>
        </w:r>
        <w:r w:rsidR="004B7EE5">
          <w:rPr>
            <w:noProof/>
            <w:webHidden/>
          </w:rPr>
          <w:t>10</w:t>
        </w:r>
        <w:r>
          <w:rPr>
            <w:noProof/>
            <w:webHidden/>
          </w:rPr>
          <w:fldChar w:fldCharType="end"/>
        </w:r>
      </w:hyperlink>
    </w:p>
    <w:p w:rsidR="00C17810" w:rsidRDefault="00140E1B">
      <w:pPr>
        <w:pStyle w:val="TableofFigures"/>
        <w:tabs>
          <w:tab w:val="right" w:leader="dot" w:pos="9019"/>
        </w:tabs>
        <w:rPr>
          <w:rFonts w:asciiTheme="minorHAnsi" w:eastAsiaTheme="minorEastAsia" w:hAnsiTheme="minorHAnsi" w:cstheme="minorBidi"/>
          <w:caps w:val="0"/>
          <w:noProof/>
          <w:sz w:val="22"/>
          <w:szCs w:val="22"/>
          <w:lang w:val="en-IN" w:eastAsia="en-IN"/>
        </w:rPr>
      </w:pPr>
      <w:hyperlink w:anchor="_Toc523725620" w:history="1">
        <w:r w:rsidR="00C17810" w:rsidRPr="000E4116">
          <w:rPr>
            <w:rStyle w:val="Hyperlink"/>
            <w:noProof/>
          </w:rPr>
          <w:t>Figure 5</w:t>
        </w:r>
        <w:r w:rsidR="00C17810" w:rsidRPr="000E4116">
          <w:rPr>
            <w:rStyle w:val="Hyperlink"/>
            <w:rFonts w:eastAsia="Calibri"/>
            <w:noProof/>
          </w:rPr>
          <w:t>: Category-wise Number of Consumers for 2016-17</w:t>
        </w:r>
        <w:r w:rsidR="00C17810">
          <w:rPr>
            <w:noProof/>
            <w:webHidden/>
          </w:rPr>
          <w:tab/>
        </w:r>
        <w:r>
          <w:rPr>
            <w:noProof/>
            <w:webHidden/>
          </w:rPr>
          <w:fldChar w:fldCharType="begin"/>
        </w:r>
        <w:r w:rsidR="00C17810">
          <w:rPr>
            <w:noProof/>
            <w:webHidden/>
          </w:rPr>
          <w:instrText xml:space="preserve"> PAGEREF _Toc523725620 \h </w:instrText>
        </w:r>
        <w:r>
          <w:rPr>
            <w:noProof/>
            <w:webHidden/>
          </w:rPr>
        </w:r>
        <w:r>
          <w:rPr>
            <w:noProof/>
            <w:webHidden/>
          </w:rPr>
          <w:fldChar w:fldCharType="separate"/>
        </w:r>
        <w:r w:rsidR="004B7EE5">
          <w:rPr>
            <w:noProof/>
            <w:webHidden/>
          </w:rPr>
          <w:t>15</w:t>
        </w:r>
        <w:r>
          <w:rPr>
            <w:noProof/>
            <w:webHidden/>
          </w:rPr>
          <w:fldChar w:fldCharType="end"/>
        </w:r>
      </w:hyperlink>
    </w:p>
    <w:p w:rsidR="00C17810" w:rsidRDefault="00140E1B">
      <w:pPr>
        <w:pStyle w:val="TableofFigures"/>
        <w:tabs>
          <w:tab w:val="right" w:leader="dot" w:pos="9019"/>
        </w:tabs>
        <w:rPr>
          <w:rFonts w:asciiTheme="minorHAnsi" w:eastAsiaTheme="minorEastAsia" w:hAnsiTheme="minorHAnsi" w:cstheme="minorBidi"/>
          <w:caps w:val="0"/>
          <w:noProof/>
          <w:sz w:val="22"/>
          <w:szCs w:val="22"/>
          <w:lang w:val="en-IN" w:eastAsia="en-IN"/>
        </w:rPr>
      </w:pPr>
      <w:hyperlink w:anchor="_Toc523725621" w:history="1">
        <w:r w:rsidR="00C17810" w:rsidRPr="000E4116">
          <w:rPr>
            <w:rStyle w:val="Hyperlink"/>
            <w:noProof/>
          </w:rPr>
          <w:t>Figure 6: Organisational chart of PED</w:t>
        </w:r>
        <w:r w:rsidR="00C17810">
          <w:rPr>
            <w:noProof/>
            <w:webHidden/>
          </w:rPr>
          <w:tab/>
        </w:r>
        <w:r>
          <w:rPr>
            <w:noProof/>
            <w:webHidden/>
          </w:rPr>
          <w:fldChar w:fldCharType="begin"/>
        </w:r>
        <w:r w:rsidR="00C17810">
          <w:rPr>
            <w:noProof/>
            <w:webHidden/>
          </w:rPr>
          <w:instrText xml:space="preserve"> PAGEREF _Toc523725621 \h </w:instrText>
        </w:r>
        <w:r>
          <w:rPr>
            <w:noProof/>
            <w:webHidden/>
          </w:rPr>
        </w:r>
        <w:r>
          <w:rPr>
            <w:noProof/>
            <w:webHidden/>
          </w:rPr>
          <w:fldChar w:fldCharType="separate"/>
        </w:r>
        <w:r w:rsidR="004B7EE5">
          <w:rPr>
            <w:noProof/>
            <w:webHidden/>
          </w:rPr>
          <w:t>18</w:t>
        </w:r>
        <w:r>
          <w:rPr>
            <w:noProof/>
            <w:webHidden/>
          </w:rPr>
          <w:fldChar w:fldCharType="end"/>
        </w:r>
      </w:hyperlink>
    </w:p>
    <w:p w:rsidR="00C17810" w:rsidRDefault="00140E1B">
      <w:pPr>
        <w:pStyle w:val="TableofFigures"/>
        <w:tabs>
          <w:tab w:val="right" w:leader="dot" w:pos="9019"/>
        </w:tabs>
        <w:rPr>
          <w:rFonts w:asciiTheme="minorHAnsi" w:eastAsiaTheme="minorEastAsia" w:hAnsiTheme="minorHAnsi" w:cstheme="minorBidi"/>
          <w:caps w:val="0"/>
          <w:noProof/>
          <w:sz w:val="22"/>
          <w:szCs w:val="22"/>
          <w:lang w:val="en-IN" w:eastAsia="en-IN"/>
        </w:rPr>
      </w:pPr>
      <w:hyperlink w:anchor="_Toc523725622" w:history="1">
        <w:r w:rsidR="00C17810" w:rsidRPr="000E4116">
          <w:rPr>
            <w:rStyle w:val="Hyperlink"/>
            <w:noProof/>
          </w:rPr>
          <w:t>Figure 7: SWOT Analysis of PED</w:t>
        </w:r>
        <w:r w:rsidR="00C17810">
          <w:rPr>
            <w:noProof/>
            <w:webHidden/>
          </w:rPr>
          <w:tab/>
        </w:r>
        <w:r>
          <w:rPr>
            <w:noProof/>
            <w:webHidden/>
          </w:rPr>
          <w:fldChar w:fldCharType="begin"/>
        </w:r>
        <w:r w:rsidR="00C17810">
          <w:rPr>
            <w:noProof/>
            <w:webHidden/>
          </w:rPr>
          <w:instrText xml:space="preserve"> PAGEREF _Toc523725622 \h </w:instrText>
        </w:r>
        <w:r>
          <w:rPr>
            <w:noProof/>
            <w:webHidden/>
          </w:rPr>
        </w:r>
        <w:r>
          <w:rPr>
            <w:noProof/>
            <w:webHidden/>
          </w:rPr>
          <w:fldChar w:fldCharType="separate"/>
        </w:r>
        <w:r w:rsidR="004B7EE5">
          <w:rPr>
            <w:noProof/>
            <w:webHidden/>
          </w:rPr>
          <w:t>27</w:t>
        </w:r>
        <w:r>
          <w:rPr>
            <w:noProof/>
            <w:webHidden/>
          </w:rPr>
          <w:fldChar w:fldCharType="end"/>
        </w:r>
      </w:hyperlink>
    </w:p>
    <w:p w:rsidR="00DC3153" w:rsidRDefault="00140E1B" w:rsidP="00DC3153">
      <w:pPr>
        <w:jc w:val="center"/>
        <w:rPr>
          <w:b/>
        </w:rPr>
      </w:pPr>
      <w:r>
        <w:rPr>
          <w:b/>
        </w:rPr>
        <w:fldChar w:fldCharType="end"/>
      </w:r>
    </w:p>
    <w:p w:rsidR="00DC3153" w:rsidRDefault="00DC3153" w:rsidP="00DC3153">
      <w:pPr>
        <w:jc w:val="center"/>
        <w:rPr>
          <w:b/>
        </w:rPr>
      </w:pPr>
      <w:r>
        <w:rPr>
          <w:b/>
        </w:rPr>
        <w:t>LIST OF TABLES</w:t>
      </w:r>
    </w:p>
    <w:p w:rsidR="00246492" w:rsidRPr="00DC3153" w:rsidRDefault="00246492" w:rsidP="00DC3153">
      <w:pPr>
        <w:jc w:val="center"/>
        <w:rPr>
          <w:b/>
        </w:rPr>
      </w:pPr>
    </w:p>
    <w:p w:rsidR="00FC22DF" w:rsidRDefault="00140E1B">
      <w:pPr>
        <w:pStyle w:val="TableofFigures"/>
        <w:tabs>
          <w:tab w:val="right" w:leader="dot" w:pos="9019"/>
        </w:tabs>
        <w:rPr>
          <w:rFonts w:asciiTheme="minorHAnsi" w:eastAsiaTheme="minorEastAsia" w:hAnsiTheme="minorHAnsi" w:cstheme="minorBidi"/>
          <w:caps w:val="0"/>
          <w:noProof/>
          <w:sz w:val="22"/>
          <w:szCs w:val="22"/>
          <w:lang w:val="en-IN" w:eastAsia="en-IN"/>
        </w:rPr>
      </w:pPr>
      <w:r w:rsidRPr="00140E1B">
        <w:rPr>
          <w:b/>
          <w:caps w:val="0"/>
        </w:rPr>
        <w:fldChar w:fldCharType="begin"/>
      </w:r>
      <w:r w:rsidR="00DC3153" w:rsidRPr="009F089F">
        <w:rPr>
          <w:b/>
          <w:caps w:val="0"/>
        </w:rPr>
        <w:instrText xml:space="preserve"> TOC \h \z \c "Table" </w:instrText>
      </w:r>
      <w:r w:rsidRPr="00140E1B">
        <w:rPr>
          <w:b/>
          <w:caps w:val="0"/>
        </w:rPr>
        <w:fldChar w:fldCharType="separate"/>
      </w:r>
      <w:hyperlink w:anchor="_Toc523719560" w:history="1">
        <w:r w:rsidR="00FC22DF" w:rsidRPr="008F6906">
          <w:rPr>
            <w:rStyle w:val="Hyperlink"/>
            <w:noProof/>
          </w:rPr>
          <w:t>Table 1 : Capital expenditure in previous control period</w:t>
        </w:r>
        <w:r w:rsidR="00FC22DF">
          <w:rPr>
            <w:noProof/>
            <w:webHidden/>
          </w:rPr>
          <w:tab/>
        </w:r>
        <w:r>
          <w:rPr>
            <w:noProof/>
            <w:webHidden/>
          </w:rPr>
          <w:fldChar w:fldCharType="begin"/>
        </w:r>
        <w:r w:rsidR="00FC22DF">
          <w:rPr>
            <w:noProof/>
            <w:webHidden/>
          </w:rPr>
          <w:instrText xml:space="preserve"> PAGEREF _Toc523719560 \h </w:instrText>
        </w:r>
        <w:r>
          <w:rPr>
            <w:noProof/>
            <w:webHidden/>
          </w:rPr>
        </w:r>
        <w:r>
          <w:rPr>
            <w:noProof/>
            <w:webHidden/>
          </w:rPr>
          <w:fldChar w:fldCharType="separate"/>
        </w:r>
        <w:r w:rsidR="004B7EE5">
          <w:rPr>
            <w:noProof/>
            <w:webHidden/>
          </w:rPr>
          <w:t>7</w:t>
        </w:r>
        <w:r>
          <w:rPr>
            <w:noProof/>
            <w:webHidden/>
          </w:rPr>
          <w:fldChar w:fldCharType="end"/>
        </w:r>
      </w:hyperlink>
    </w:p>
    <w:p w:rsidR="00FC22DF" w:rsidRDefault="00140E1B">
      <w:pPr>
        <w:pStyle w:val="TableofFigures"/>
        <w:tabs>
          <w:tab w:val="right" w:leader="dot" w:pos="9019"/>
        </w:tabs>
        <w:rPr>
          <w:rFonts w:asciiTheme="minorHAnsi" w:eastAsiaTheme="minorEastAsia" w:hAnsiTheme="minorHAnsi" w:cstheme="minorBidi"/>
          <w:caps w:val="0"/>
          <w:noProof/>
          <w:sz w:val="22"/>
          <w:szCs w:val="22"/>
          <w:lang w:val="en-IN" w:eastAsia="en-IN"/>
        </w:rPr>
      </w:pPr>
      <w:hyperlink w:anchor="_Toc523719561" w:history="1">
        <w:r w:rsidR="00FC22DF" w:rsidRPr="008F6906">
          <w:rPr>
            <w:rStyle w:val="Hyperlink"/>
            <w:noProof/>
          </w:rPr>
          <w:t>Table 2 : Capitalization in previous control period</w:t>
        </w:r>
        <w:r w:rsidR="00FC22DF">
          <w:rPr>
            <w:noProof/>
            <w:webHidden/>
          </w:rPr>
          <w:tab/>
        </w:r>
        <w:r>
          <w:rPr>
            <w:noProof/>
            <w:webHidden/>
          </w:rPr>
          <w:fldChar w:fldCharType="begin"/>
        </w:r>
        <w:r w:rsidR="00FC22DF">
          <w:rPr>
            <w:noProof/>
            <w:webHidden/>
          </w:rPr>
          <w:instrText xml:space="preserve"> PAGEREF _Toc523719561 \h </w:instrText>
        </w:r>
        <w:r>
          <w:rPr>
            <w:noProof/>
            <w:webHidden/>
          </w:rPr>
        </w:r>
        <w:r>
          <w:rPr>
            <w:noProof/>
            <w:webHidden/>
          </w:rPr>
          <w:fldChar w:fldCharType="separate"/>
        </w:r>
        <w:r w:rsidR="004B7EE5">
          <w:rPr>
            <w:noProof/>
            <w:webHidden/>
          </w:rPr>
          <w:t>8</w:t>
        </w:r>
        <w:r>
          <w:rPr>
            <w:noProof/>
            <w:webHidden/>
          </w:rPr>
          <w:fldChar w:fldCharType="end"/>
        </w:r>
      </w:hyperlink>
    </w:p>
    <w:p w:rsidR="00FC22DF" w:rsidRDefault="00140E1B">
      <w:pPr>
        <w:pStyle w:val="TableofFigures"/>
        <w:tabs>
          <w:tab w:val="right" w:leader="dot" w:pos="9019"/>
        </w:tabs>
        <w:rPr>
          <w:rFonts w:asciiTheme="minorHAnsi" w:eastAsiaTheme="minorEastAsia" w:hAnsiTheme="minorHAnsi" w:cstheme="minorBidi"/>
          <w:caps w:val="0"/>
          <w:noProof/>
          <w:sz w:val="22"/>
          <w:szCs w:val="22"/>
          <w:lang w:val="en-IN" w:eastAsia="en-IN"/>
        </w:rPr>
      </w:pPr>
      <w:hyperlink w:anchor="_Toc523719562" w:history="1">
        <w:r w:rsidR="00FC22DF" w:rsidRPr="008F6906">
          <w:rPr>
            <w:rStyle w:val="Hyperlink"/>
            <w:noProof/>
          </w:rPr>
          <w:t>Table 3 : Distribution losses in previous control period</w:t>
        </w:r>
        <w:r w:rsidR="00FC22DF">
          <w:rPr>
            <w:noProof/>
            <w:webHidden/>
          </w:rPr>
          <w:tab/>
        </w:r>
        <w:r>
          <w:rPr>
            <w:noProof/>
            <w:webHidden/>
          </w:rPr>
          <w:fldChar w:fldCharType="begin"/>
        </w:r>
        <w:r w:rsidR="00FC22DF">
          <w:rPr>
            <w:noProof/>
            <w:webHidden/>
          </w:rPr>
          <w:instrText xml:space="preserve"> PAGEREF _Toc523719562 \h </w:instrText>
        </w:r>
        <w:r>
          <w:rPr>
            <w:noProof/>
            <w:webHidden/>
          </w:rPr>
        </w:r>
        <w:r>
          <w:rPr>
            <w:noProof/>
            <w:webHidden/>
          </w:rPr>
          <w:fldChar w:fldCharType="separate"/>
        </w:r>
        <w:r w:rsidR="004B7EE5">
          <w:rPr>
            <w:noProof/>
            <w:webHidden/>
          </w:rPr>
          <w:t>9</w:t>
        </w:r>
        <w:r>
          <w:rPr>
            <w:noProof/>
            <w:webHidden/>
          </w:rPr>
          <w:fldChar w:fldCharType="end"/>
        </w:r>
      </w:hyperlink>
    </w:p>
    <w:p w:rsidR="00FC22DF" w:rsidRDefault="00140E1B">
      <w:pPr>
        <w:pStyle w:val="TableofFigures"/>
        <w:tabs>
          <w:tab w:val="right" w:leader="dot" w:pos="9019"/>
        </w:tabs>
        <w:rPr>
          <w:rFonts w:asciiTheme="minorHAnsi" w:eastAsiaTheme="minorEastAsia" w:hAnsiTheme="minorHAnsi" w:cstheme="minorBidi"/>
          <w:caps w:val="0"/>
          <w:noProof/>
          <w:sz w:val="22"/>
          <w:szCs w:val="22"/>
          <w:lang w:val="en-IN" w:eastAsia="en-IN"/>
        </w:rPr>
      </w:pPr>
      <w:hyperlink w:anchor="_Toc523719563" w:history="1">
        <w:r w:rsidR="00FC22DF" w:rsidRPr="008F6906">
          <w:rPr>
            <w:rStyle w:val="Hyperlink"/>
            <w:noProof/>
          </w:rPr>
          <w:t>Table 4 : Energy sales in previous control period</w:t>
        </w:r>
        <w:r w:rsidR="00FC22DF">
          <w:rPr>
            <w:noProof/>
            <w:webHidden/>
          </w:rPr>
          <w:tab/>
        </w:r>
        <w:r>
          <w:rPr>
            <w:noProof/>
            <w:webHidden/>
          </w:rPr>
          <w:fldChar w:fldCharType="begin"/>
        </w:r>
        <w:r w:rsidR="00FC22DF">
          <w:rPr>
            <w:noProof/>
            <w:webHidden/>
          </w:rPr>
          <w:instrText xml:space="preserve"> PAGEREF _Toc523719563 \h </w:instrText>
        </w:r>
        <w:r>
          <w:rPr>
            <w:noProof/>
            <w:webHidden/>
          </w:rPr>
        </w:r>
        <w:r>
          <w:rPr>
            <w:noProof/>
            <w:webHidden/>
          </w:rPr>
          <w:fldChar w:fldCharType="separate"/>
        </w:r>
        <w:r w:rsidR="004B7EE5">
          <w:rPr>
            <w:noProof/>
            <w:webHidden/>
          </w:rPr>
          <w:t>9</w:t>
        </w:r>
        <w:r>
          <w:rPr>
            <w:noProof/>
            <w:webHidden/>
          </w:rPr>
          <w:fldChar w:fldCharType="end"/>
        </w:r>
      </w:hyperlink>
    </w:p>
    <w:p w:rsidR="00FC22DF" w:rsidRDefault="00140E1B">
      <w:pPr>
        <w:pStyle w:val="TableofFigures"/>
        <w:tabs>
          <w:tab w:val="right" w:leader="dot" w:pos="9019"/>
        </w:tabs>
        <w:rPr>
          <w:rFonts w:asciiTheme="minorHAnsi" w:eastAsiaTheme="minorEastAsia" w:hAnsiTheme="minorHAnsi" w:cstheme="minorBidi"/>
          <w:caps w:val="0"/>
          <w:noProof/>
          <w:sz w:val="22"/>
          <w:szCs w:val="22"/>
          <w:lang w:val="en-IN" w:eastAsia="en-IN"/>
        </w:rPr>
      </w:pPr>
      <w:hyperlink w:anchor="_Toc523719564" w:history="1">
        <w:r w:rsidR="00FC22DF" w:rsidRPr="008F6906">
          <w:rPr>
            <w:rStyle w:val="Hyperlink"/>
            <w:noProof/>
          </w:rPr>
          <w:t>Table 5 : No. of consumers in previous control period</w:t>
        </w:r>
        <w:r w:rsidR="00FC22DF">
          <w:rPr>
            <w:noProof/>
            <w:webHidden/>
          </w:rPr>
          <w:tab/>
        </w:r>
        <w:r>
          <w:rPr>
            <w:noProof/>
            <w:webHidden/>
          </w:rPr>
          <w:fldChar w:fldCharType="begin"/>
        </w:r>
        <w:r w:rsidR="00FC22DF">
          <w:rPr>
            <w:noProof/>
            <w:webHidden/>
          </w:rPr>
          <w:instrText xml:space="preserve"> PAGEREF _Toc523719564 \h </w:instrText>
        </w:r>
        <w:r>
          <w:rPr>
            <w:noProof/>
            <w:webHidden/>
          </w:rPr>
        </w:r>
        <w:r>
          <w:rPr>
            <w:noProof/>
            <w:webHidden/>
          </w:rPr>
          <w:fldChar w:fldCharType="separate"/>
        </w:r>
        <w:r w:rsidR="004B7EE5">
          <w:rPr>
            <w:noProof/>
            <w:webHidden/>
          </w:rPr>
          <w:t>10</w:t>
        </w:r>
        <w:r>
          <w:rPr>
            <w:noProof/>
            <w:webHidden/>
          </w:rPr>
          <w:fldChar w:fldCharType="end"/>
        </w:r>
      </w:hyperlink>
    </w:p>
    <w:p w:rsidR="00FC22DF" w:rsidRDefault="00140E1B">
      <w:pPr>
        <w:pStyle w:val="TableofFigures"/>
        <w:tabs>
          <w:tab w:val="right" w:leader="dot" w:pos="9019"/>
        </w:tabs>
        <w:rPr>
          <w:rFonts w:asciiTheme="minorHAnsi" w:eastAsiaTheme="minorEastAsia" w:hAnsiTheme="minorHAnsi" w:cstheme="minorBidi"/>
          <w:caps w:val="0"/>
          <w:noProof/>
          <w:sz w:val="22"/>
          <w:szCs w:val="22"/>
          <w:lang w:val="en-IN" w:eastAsia="en-IN"/>
        </w:rPr>
      </w:pPr>
      <w:hyperlink w:anchor="_Toc523719565" w:history="1">
        <w:r w:rsidR="00FC22DF" w:rsidRPr="008F6906">
          <w:rPr>
            <w:rStyle w:val="Hyperlink"/>
            <w:noProof/>
          </w:rPr>
          <w:t>Table 6 : Power procurement plan approved for previous control period</w:t>
        </w:r>
        <w:r w:rsidR="00FC22DF">
          <w:rPr>
            <w:noProof/>
            <w:webHidden/>
          </w:rPr>
          <w:tab/>
        </w:r>
        <w:r>
          <w:rPr>
            <w:noProof/>
            <w:webHidden/>
          </w:rPr>
          <w:fldChar w:fldCharType="begin"/>
        </w:r>
        <w:r w:rsidR="00FC22DF">
          <w:rPr>
            <w:noProof/>
            <w:webHidden/>
          </w:rPr>
          <w:instrText xml:space="preserve"> PAGEREF _Toc523719565 \h </w:instrText>
        </w:r>
        <w:r>
          <w:rPr>
            <w:noProof/>
            <w:webHidden/>
          </w:rPr>
        </w:r>
        <w:r>
          <w:rPr>
            <w:noProof/>
            <w:webHidden/>
          </w:rPr>
          <w:fldChar w:fldCharType="separate"/>
        </w:r>
        <w:r w:rsidR="004B7EE5">
          <w:rPr>
            <w:noProof/>
            <w:webHidden/>
          </w:rPr>
          <w:t>11</w:t>
        </w:r>
        <w:r>
          <w:rPr>
            <w:noProof/>
            <w:webHidden/>
          </w:rPr>
          <w:fldChar w:fldCharType="end"/>
        </w:r>
      </w:hyperlink>
    </w:p>
    <w:p w:rsidR="00FC22DF" w:rsidRDefault="00140E1B">
      <w:pPr>
        <w:pStyle w:val="TableofFigures"/>
        <w:tabs>
          <w:tab w:val="right" w:leader="dot" w:pos="9019"/>
        </w:tabs>
        <w:rPr>
          <w:rFonts w:asciiTheme="minorHAnsi" w:eastAsiaTheme="minorEastAsia" w:hAnsiTheme="minorHAnsi" w:cstheme="minorBidi"/>
          <w:caps w:val="0"/>
          <w:noProof/>
          <w:sz w:val="22"/>
          <w:szCs w:val="22"/>
          <w:lang w:val="en-IN" w:eastAsia="en-IN"/>
        </w:rPr>
      </w:pPr>
      <w:hyperlink w:anchor="_Toc523719566" w:history="1">
        <w:r w:rsidR="00FC22DF" w:rsidRPr="008F6906">
          <w:rPr>
            <w:rStyle w:val="Hyperlink"/>
            <w:noProof/>
          </w:rPr>
          <w:t>Table 7 : Actual Power procurement in previous control period</w:t>
        </w:r>
        <w:r w:rsidR="00FC22DF">
          <w:rPr>
            <w:noProof/>
            <w:webHidden/>
          </w:rPr>
          <w:tab/>
        </w:r>
        <w:r>
          <w:rPr>
            <w:noProof/>
            <w:webHidden/>
          </w:rPr>
          <w:fldChar w:fldCharType="begin"/>
        </w:r>
        <w:r w:rsidR="00FC22DF">
          <w:rPr>
            <w:noProof/>
            <w:webHidden/>
          </w:rPr>
          <w:instrText xml:space="preserve"> PAGEREF _Toc523719566 \h </w:instrText>
        </w:r>
        <w:r>
          <w:rPr>
            <w:noProof/>
            <w:webHidden/>
          </w:rPr>
        </w:r>
        <w:r>
          <w:rPr>
            <w:noProof/>
            <w:webHidden/>
          </w:rPr>
          <w:fldChar w:fldCharType="separate"/>
        </w:r>
        <w:r w:rsidR="004B7EE5">
          <w:rPr>
            <w:noProof/>
            <w:webHidden/>
          </w:rPr>
          <w:t>12</w:t>
        </w:r>
        <w:r>
          <w:rPr>
            <w:noProof/>
            <w:webHidden/>
          </w:rPr>
          <w:fldChar w:fldCharType="end"/>
        </w:r>
      </w:hyperlink>
    </w:p>
    <w:p w:rsidR="00FC22DF" w:rsidRDefault="00140E1B">
      <w:pPr>
        <w:pStyle w:val="TableofFigures"/>
        <w:tabs>
          <w:tab w:val="right" w:leader="dot" w:pos="9019"/>
        </w:tabs>
        <w:rPr>
          <w:rFonts w:asciiTheme="minorHAnsi" w:eastAsiaTheme="minorEastAsia" w:hAnsiTheme="minorHAnsi" w:cstheme="minorBidi"/>
          <w:caps w:val="0"/>
          <w:noProof/>
          <w:sz w:val="22"/>
          <w:szCs w:val="22"/>
          <w:lang w:val="en-IN" w:eastAsia="en-IN"/>
        </w:rPr>
      </w:pPr>
      <w:hyperlink w:anchor="_Toc523719567" w:history="1">
        <w:r w:rsidR="00FC22DF" w:rsidRPr="008F6906">
          <w:rPr>
            <w:rStyle w:val="Hyperlink"/>
            <w:noProof/>
          </w:rPr>
          <w:t>Table 8 : O&amp;M Expenses in previous control period</w:t>
        </w:r>
        <w:r w:rsidR="00FC22DF">
          <w:rPr>
            <w:noProof/>
            <w:webHidden/>
          </w:rPr>
          <w:tab/>
        </w:r>
        <w:r>
          <w:rPr>
            <w:noProof/>
            <w:webHidden/>
          </w:rPr>
          <w:fldChar w:fldCharType="begin"/>
        </w:r>
        <w:r w:rsidR="00FC22DF">
          <w:rPr>
            <w:noProof/>
            <w:webHidden/>
          </w:rPr>
          <w:instrText xml:space="preserve"> PAGEREF _Toc523719567 \h </w:instrText>
        </w:r>
        <w:r>
          <w:rPr>
            <w:noProof/>
            <w:webHidden/>
          </w:rPr>
        </w:r>
        <w:r>
          <w:rPr>
            <w:noProof/>
            <w:webHidden/>
          </w:rPr>
          <w:fldChar w:fldCharType="separate"/>
        </w:r>
        <w:r w:rsidR="004B7EE5">
          <w:rPr>
            <w:noProof/>
            <w:webHidden/>
          </w:rPr>
          <w:t>12</w:t>
        </w:r>
        <w:r>
          <w:rPr>
            <w:noProof/>
            <w:webHidden/>
          </w:rPr>
          <w:fldChar w:fldCharType="end"/>
        </w:r>
      </w:hyperlink>
    </w:p>
    <w:p w:rsidR="00FC22DF" w:rsidRDefault="00140E1B">
      <w:pPr>
        <w:pStyle w:val="TableofFigures"/>
        <w:tabs>
          <w:tab w:val="right" w:leader="dot" w:pos="9019"/>
        </w:tabs>
        <w:rPr>
          <w:rFonts w:asciiTheme="minorHAnsi" w:eastAsiaTheme="minorEastAsia" w:hAnsiTheme="minorHAnsi" w:cstheme="minorBidi"/>
          <w:caps w:val="0"/>
          <w:noProof/>
          <w:sz w:val="22"/>
          <w:szCs w:val="22"/>
          <w:lang w:val="en-IN" w:eastAsia="en-IN"/>
        </w:rPr>
      </w:pPr>
      <w:hyperlink w:anchor="_Toc523719568" w:history="1">
        <w:r w:rsidR="00FC22DF" w:rsidRPr="008F6906">
          <w:rPr>
            <w:rStyle w:val="Hyperlink"/>
            <w:noProof/>
          </w:rPr>
          <w:t>Table 9</w:t>
        </w:r>
        <w:r w:rsidR="00FC22DF" w:rsidRPr="008F6906">
          <w:rPr>
            <w:rStyle w:val="Hyperlink"/>
            <w:rFonts w:eastAsia="Calibri"/>
            <w:noProof/>
          </w:rPr>
          <w:t>:  Network Configuration (as on August 2018)</w:t>
        </w:r>
        <w:r w:rsidR="00FC22DF">
          <w:rPr>
            <w:noProof/>
            <w:webHidden/>
          </w:rPr>
          <w:tab/>
        </w:r>
        <w:r>
          <w:rPr>
            <w:noProof/>
            <w:webHidden/>
          </w:rPr>
          <w:fldChar w:fldCharType="begin"/>
        </w:r>
        <w:r w:rsidR="00FC22DF">
          <w:rPr>
            <w:noProof/>
            <w:webHidden/>
          </w:rPr>
          <w:instrText xml:space="preserve"> PAGEREF _Toc523719568 \h </w:instrText>
        </w:r>
        <w:r>
          <w:rPr>
            <w:noProof/>
            <w:webHidden/>
          </w:rPr>
        </w:r>
        <w:r>
          <w:rPr>
            <w:noProof/>
            <w:webHidden/>
          </w:rPr>
          <w:fldChar w:fldCharType="separate"/>
        </w:r>
        <w:r w:rsidR="004B7EE5">
          <w:rPr>
            <w:noProof/>
            <w:webHidden/>
          </w:rPr>
          <w:t>15</w:t>
        </w:r>
        <w:r>
          <w:rPr>
            <w:noProof/>
            <w:webHidden/>
          </w:rPr>
          <w:fldChar w:fldCharType="end"/>
        </w:r>
      </w:hyperlink>
    </w:p>
    <w:p w:rsidR="00FC22DF" w:rsidRDefault="00140E1B">
      <w:pPr>
        <w:pStyle w:val="TableofFigures"/>
        <w:tabs>
          <w:tab w:val="right" w:leader="dot" w:pos="9019"/>
        </w:tabs>
        <w:rPr>
          <w:rFonts w:asciiTheme="minorHAnsi" w:eastAsiaTheme="minorEastAsia" w:hAnsiTheme="minorHAnsi" w:cstheme="minorBidi"/>
          <w:caps w:val="0"/>
          <w:noProof/>
          <w:sz w:val="22"/>
          <w:szCs w:val="22"/>
          <w:lang w:val="en-IN" w:eastAsia="en-IN"/>
        </w:rPr>
      </w:pPr>
      <w:hyperlink w:anchor="_Toc523719569" w:history="1">
        <w:r w:rsidR="00FC22DF" w:rsidRPr="008F6906">
          <w:rPr>
            <w:rStyle w:val="Hyperlink"/>
            <w:noProof/>
          </w:rPr>
          <w:t>Table 10: Summary of Category-wise No. of Consumers Growth Rate Considered for Projections</w:t>
        </w:r>
        <w:r w:rsidR="00FC22DF">
          <w:rPr>
            <w:noProof/>
            <w:webHidden/>
          </w:rPr>
          <w:tab/>
        </w:r>
        <w:r>
          <w:rPr>
            <w:noProof/>
            <w:webHidden/>
          </w:rPr>
          <w:fldChar w:fldCharType="begin"/>
        </w:r>
        <w:r w:rsidR="00FC22DF">
          <w:rPr>
            <w:noProof/>
            <w:webHidden/>
          </w:rPr>
          <w:instrText xml:space="preserve"> PAGEREF _Toc523719569 \h </w:instrText>
        </w:r>
        <w:r>
          <w:rPr>
            <w:noProof/>
            <w:webHidden/>
          </w:rPr>
        </w:r>
        <w:r>
          <w:rPr>
            <w:noProof/>
            <w:webHidden/>
          </w:rPr>
          <w:fldChar w:fldCharType="separate"/>
        </w:r>
        <w:r w:rsidR="004B7EE5">
          <w:rPr>
            <w:noProof/>
            <w:webHidden/>
          </w:rPr>
          <w:t>32</w:t>
        </w:r>
        <w:r>
          <w:rPr>
            <w:noProof/>
            <w:webHidden/>
          </w:rPr>
          <w:fldChar w:fldCharType="end"/>
        </w:r>
      </w:hyperlink>
    </w:p>
    <w:p w:rsidR="00FC22DF" w:rsidRDefault="00140E1B">
      <w:pPr>
        <w:pStyle w:val="TableofFigures"/>
        <w:tabs>
          <w:tab w:val="right" w:leader="dot" w:pos="9019"/>
        </w:tabs>
        <w:rPr>
          <w:rFonts w:asciiTheme="minorHAnsi" w:eastAsiaTheme="minorEastAsia" w:hAnsiTheme="minorHAnsi" w:cstheme="minorBidi"/>
          <w:caps w:val="0"/>
          <w:noProof/>
          <w:sz w:val="22"/>
          <w:szCs w:val="22"/>
          <w:lang w:val="en-IN" w:eastAsia="en-IN"/>
        </w:rPr>
      </w:pPr>
      <w:hyperlink w:anchor="_Toc523719570" w:history="1">
        <w:r w:rsidR="00FC22DF" w:rsidRPr="008F6906">
          <w:rPr>
            <w:rStyle w:val="Hyperlink"/>
            <w:noProof/>
          </w:rPr>
          <w:t>Table 11: Summary of Category-wise Connected Load (kW) Growth Rate Considered for Projections</w:t>
        </w:r>
        <w:r w:rsidR="00FC22DF">
          <w:rPr>
            <w:noProof/>
            <w:webHidden/>
          </w:rPr>
          <w:tab/>
        </w:r>
        <w:r>
          <w:rPr>
            <w:noProof/>
            <w:webHidden/>
          </w:rPr>
          <w:fldChar w:fldCharType="begin"/>
        </w:r>
        <w:r w:rsidR="00FC22DF">
          <w:rPr>
            <w:noProof/>
            <w:webHidden/>
          </w:rPr>
          <w:instrText xml:space="preserve"> PAGEREF _Toc523719570 \h </w:instrText>
        </w:r>
        <w:r>
          <w:rPr>
            <w:noProof/>
            <w:webHidden/>
          </w:rPr>
        </w:r>
        <w:r>
          <w:rPr>
            <w:noProof/>
            <w:webHidden/>
          </w:rPr>
          <w:fldChar w:fldCharType="separate"/>
        </w:r>
        <w:r w:rsidR="004B7EE5">
          <w:rPr>
            <w:noProof/>
            <w:webHidden/>
          </w:rPr>
          <w:t>33</w:t>
        </w:r>
        <w:r>
          <w:rPr>
            <w:noProof/>
            <w:webHidden/>
          </w:rPr>
          <w:fldChar w:fldCharType="end"/>
        </w:r>
      </w:hyperlink>
    </w:p>
    <w:p w:rsidR="00FC22DF" w:rsidRDefault="00140E1B">
      <w:pPr>
        <w:pStyle w:val="TableofFigures"/>
        <w:tabs>
          <w:tab w:val="right" w:leader="dot" w:pos="9019"/>
        </w:tabs>
        <w:rPr>
          <w:rFonts w:asciiTheme="minorHAnsi" w:eastAsiaTheme="minorEastAsia" w:hAnsiTheme="minorHAnsi" w:cstheme="minorBidi"/>
          <w:caps w:val="0"/>
          <w:noProof/>
          <w:sz w:val="22"/>
          <w:szCs w:val="22"/>
          <w:lang w:val="en-IN" w:eastAsia="en-IN"/>
        </w:rPr>
      </w:pPr>
      <w:hyperlink w:anchor="_Toc523719571" w:history="1">
        <w:r w:rsidR="00FC22DF" w:rsidRPr="008F6906">
          <w:rPr>
            <w:rStyle w:val="Hyperlink"/>
            <w:noProof/>
          </w:rPr>
          <w:t>Table 12: Summary of Category-wise Sales/Demand Growth Rate Considered for Projections</w:t>
        </w:r>
        <w:r w:rsidR="00FC22DF">
          <w:rPr>
            <w:noProof/>
            <w:webHidden/>
          </w:rPr>
          <w:tab/>
        </w:r>
        <w:r>
          <w:rPr>
            <w:noProof/>
            <w:webHidden/>
          </w:rPr>
          <w:fldChar w:fldCharType="begin"/>
        </w:r>
        <w:r w:rsidR="00FC22DF">
          <w:rPr>
            <w:noProof/>
            <w:webHidden/>
          </w:rPr>
          <w:instrText xml:space="preserve"> PAGEREF _Toc523719571 \h </w:instrText>
        </w:r>
        <w:r>
          <w:rPr>
            <w:noProof/>
            <w:webHidden/>
          </w:rPr>
        </w:r>
        <w:r>
          <w:rPr>
            <w:noProof/>
            <w:webHidden/>
          </w:rPr>
          <w:fldChar w:fldCharType="separate"/>
        </w:r>
        <w:r w:rsidR="004B7EE5">
          <w:rPr>
            <w:noProof/>
            <w:webHidden/>
          </w:rPr>
          <w:t>33</w:t>
        </w:r>
        <w:r>
          <w:rPr>
            <w:noProof/>
            <w:webHidden/>
          </w:rPr>
          <w:fldChar w:fldCharType="end"/>
        </w:r>
      </w:hyperlink>
    </w:p>
    <w:p w:rsidR="00FC22DF" w:rsidRDefault="00140E1B">
      <w:pPr>
        <w:pStyle w:val="TableofFigures"/>
        <w:tabs>
          <w:tab w:val="right" w:leader="dot" w:pos="9019"/>
        </w:tabs>
        <w:rPr>
          <w:rFonts w:asciiTheme="minorHAnsi" w:eastAsiaTheme="minorEastAsia" w:hAnsiTheme="minorHAnsi" w:cstheme="minorBidi"/>
          <w:caps w:val="0"/>
          <w:noProof/>
          <w:sz w:val="22"/>
          <w:szCs w:val="22"/>
          <w:lang w:val="en-IN" w:eastAsia="en-IN"/>
        </w:rPr>
      </w:pPr>
      <w:hyperlink w:anchor="_Toc523719572" w:history="1">
        <w:r w:rsidR="00FC22DF" w:rsidRPr="008F6906">
          <w:rPr>
            <w:rStyle w:val="Hyperlink"/>
            <w:noProof/>
          </w:rPr>
          <w:t>Table 13: Projection of Number of Consumers for the MYT Control Period</w:t>
        </w:r>
        <w:r w:rsidR="00FC22DF">
          <w:rPr>
            <w:noProof/>
            <w:webHidden/>
          </w:rPr>
          <w:tab/>
        </w:r>
        <w:r>
          <w:rPr>
            <w:noProof/>
            <w:webHidden/>
          </w:rPr>
          <w:fldChar w:fldCharType="begin"/>
        </w:r>
        <w:r w:rsidR="00FC22DF">
          <w:rPr>
            <w:noProof/>
            <w:webHidden/>
          </w:rPr>
          <w:instrText xml:space="preserve"> PAGEREF _Toc523719572 \h </w:instrText>
        </w:r>
        <w:r>
          <w:rPr>
            <w:noProof/>
            <w:webHidden/>
          </w:rPr>
        </w:r>
        <w:r>
          <w:rPr>
            <w:noProof/>
            <w:webHidden/>
          </w:rPr>
          <w:fldChar w:fldCharType="separate"/>
        </w:r>
        <w:r w:rsidR="004B7EE5">
          <w:rPr>
            <w:noProof/>
            <w:webHidden/>
          </w:rPr>
          <w:t>35</w:t>
        </w:r>
        <w:r>
          <w:rPr>
            <w:noProof/>
            <w:webHidden/>
          </w:rPr>
          <w:fldChar w:fldCharType="end"/>
        </w:r>
      </w:hyperlink>
    </w:p>
    <w:p w:rsidR="00FC22DF" w:rsidRDefault="00140E1B">
      <w:pPr>
        <w:pStyle w:val="TableofFigures"/>
        <w:tabs>
          <w:tab w:val="right" w:leader="dot" w:pos="9019"/>
        </w:tabs>
        <w:rPr>
          <w:rFonts w:asciiTheme="minorHAnsi" w:eastAsiaTheme="minorEastAsia" w:hAnsiTheme="minorHAnsi" w:cstheme="minorBidi"/>
          <w:caps w:val="0"/>
          <w:noProof/>
          <w:sz w:val="22"/>
          <w:szCs w:val="22"/>
          <w:lang w:val="en-IN" w:eastAsia="en-IN"/>
        </w:rPr>
      </w:pPr>
      <w:hyperlink w:anchor="_Toc523719573" w:history="1">
        <w:r w:rsidR="00FC22DF" w:rsidRPr="008F6906">
          <w:rPr>
            <w:rStyle w:val="Hyperlink"/>
            <w:noProof/>
          </w:rPr>
          <w:t>Table 14: Projection of Connected Load during the MYT Control Period</w:t>
        </w:r>
        <w:r w:rsidR="00FC22DF">
          <w:rPr>
            <w:noProof/>
            <w:webHidden/>
          </w:rPr>
          <w:tab/>
        </w:r>
        <w:r>
          <w:rPr>
            <w:noProof/>
            <w:webHidden/>
          </w:rPr>
          <w:fldChar w:fldCharType="begin"/>
        </w:r>
        <w:r w:rsidR="00FC22DF">
          <w:rPr>
            <w:noProof/>
            <w:webHidden/>
          </w:rPr>
          <w:instrText xml:space="preserve"> PAGEREF _Toc523719573 \h </w:instrText>
        </w:r>
        <w:r>
          <w:rPr>
            <w:noProof/>
            <w:webHidden/>
          </w:rPr>
        </w:r>
        <w:r>
          <w:rPr>
            <w:noProof/>
            <w:webHidden/>
          </w:rPr>
          <w:fldChar w:fldCharType="separate"/>
        </w:r>
        <w:r w:rsidR="004B7EE5">
          <w:rPr>
            <w:noProof/>
            <w:webHidden/>
          </w:rPr>
          <w:t>36</w:t>
        </w:r>
        <w:r>
          <w:rPr>
            <w:noProof/>
            <w:webHidden/>
          </w:rPr>
          <w:fldChar w:fldCharType="end"/>
        </w:r>
      </w:hyperlink>
    </w:p>
    <w:p w:rsidR="00FC22DF" w:rsidRDefault="00140E1B">
      <w:pPr>
        <w:pStyle w:val="TableofFigures"/>
        <w:tabs>
          <w:tab w:val="right" w:leader="dot" w:pos="9019"/>
        </w:tabs>
        <w:rPr>
          <w:rFonts w:asciiTheme="minorHAnsi" w:eastAsiaTheme="minorEastAsia" w:hAnsiTheme="minorHAnsi" w:cstheme="minorBidi"/>
          <w:caps w:val="0"/>
          <w:noProof/>
          <w:sz w:val="22"/>
          <w:szCs w:val="22"/>
          <w:lang w:val="en-IN" w:eastAsia="en-IN"/>
        </w:rPr>
      </w:pPr>
      <w:hyperlink w:anchor="_Toc523719574" w:history="1">
        <w:r w:rsidR="00FC22DF" w:rsidRPr="008F6906">
          <w:rPr>
            <w:rStyle w:val="Hyperlink"/>
            <w:noProof/>
          </w:rPr>
          <w:t>Table 15: Projection of Consumption during the MYT Control Period</w:t>
        </w:r>
        <w:r w:rsidR="00FC22DF">
          <w:rPr>
            <w:noProof/>
            <w:webHidden/>
          </w:rPr>
          <w:tab/>
        </w:r>
        <w:r>
          <w:rPr>
            <w:noProof/>
            <w:webHidden/>
          </w:rPr>
          <w:fldChar w:fldCharType="begin"/>
        </w:r>
        <w:r w:rsidR="00FC22DF">
          <w:rPr>
            <w:noProof/>
            <w:webHidden/>
          </w:rPr>
          <w:instrText xml:space="preserve"> PAGEREF _Toc523719574 \h </w:instrText>
        </w:r>
        <w:r>
          <w:rPr>
            <w:noProof/>
            <w:webHidden/>
          </w:rPr>
        </w:r>
        <w:r>
          <w:rPr>
            <w:noProof/>
            <w:webHidden/>
          </w:rPr>
          <w:fldChar w:fldCharType="separate"/>
        </w:r>
        <w:r w:rsidR="004B7EE5">
          <w:rPr>
            <w:noProof/>
            <w:webHidden/>
          </w:rPr>
          <w:t>36</w:t>
        </w:r>
        <w:r>
          <w:rPr>
            <w:noProof/>
            <w:webHidden/>
          </w:rPr>
          <w:fldChar w:fldCharType="end"/>
        </w:r>
      </w:hyperlink>
    </w:p>
    <w:p w:rsidR="00FC22DF" w:rsidRDefault="00140E1B">
      <w:pPr>
        <w:pStyle w:val="TableofFigures"/>
        <w:tabs>
          <w:tab w:val="right" w:leader="dot" w:pos="9019"/>
        </w:tabs>
        <w:rPr>
          <w:rFonts w:asciiTheme="minorHAnsi" w:eastAsiaTheme="minorEastAsia" w:hAnsiTheme="minorHAnsi" w:cstheme="minorBidi"/>
          <w:caps w:val="0"/>
          <w:noProof/>
          <w:sz w:val="22"/>
          <w:szCs w:val="22"/>
          <w:lang w:val="en-IN" w:eastAsia="en-IN"/>
        </w:rPr>
      </w:pPr>
      <w:hyperlink w:anchor="_Toc523719575" w:history="1">
        <w:r w:rsidR="00FC22DF" w:rsidRPr="008F6906">
          <w:rPr>
            <w:rStyle w:val="Hyperlink"/>
            <w:noProof/>
          </w:rPr>
          <w:t>Table 16: Actual Distribution Losses</w:t>
        </w:r>
        <w:r w:rsidR="00FC22DF">
          <w:rPr>
            <w:noProof/>
            <w:webHidden/>
          </w:rPr>
          <w:tab/>
        </w:r>
        <w:r>
          <w:rPr>
            <w:noProof/>
            <w:webHidden/>
          </w:rPr>
          <w:fldChar w:fldCharType="begin"/>
        </w:r>
        <w:r w:rsidR="00FC22DF">
          <w:rPr>
            <w:noProof/>
            <w:webHidden/>
          </w:rPr>
          <w:instrText xml:space="preserve"> PAGEREF _Toc523719575 \h </w:instrText>
        </w:r>
        <w:r>
          <w:rPr>
            <w:noProof/>
            <w:webHidden/>
          </w:rPr>
        </w:r>
        <w:r>
          <w:rPr>
            <w:noProof/>
            <w:webHidden/>
          </w:rPr>
          <w:fldChar w:fldCharType="separate"/>
        </w:r>
        <w:r w:rsidR="004B7EE5">
          <w:rPr>
            <w:noProof/>
            <w:webHidden/>
          </w:rPr>
          <w:t>37</w:t>
        </w:r>
        <w:r>
          <w:rPr>
            <w:noProof/>
            <w:webHidden/>
          </w:rPr>
          <w:fldChar w:fldCharType="end"/>
        </w:r>
      </w:hyperlink>
    </w:p>
    <w:p w:rsidR="00FC22DF" w:rsidRDefault="00140E1B">
      <w:pPr>
        <w:pStyle w:val="TableofFigures"/>
        <w:tabs>
          <w:tab w:val="right" w:leader="dot" w:pos="9019"/>
        </w:tabs>
        <w:rPr>
          <w:rFonts w:asciiTheme="minorHAnsi" w:eastAsiaTheme="minorEastAsia" w:hAnsiTheme="minorHAnsi" w:cstheme="minorBidi"/>
          <w:caps w:val="0"/>
          <w:noProof/>
          <w:sz w:val="22"/>
          <w:szCs w:val="22"/>
          <w:lang w:val="en-IN" w:eastAsia="en-IN"/>
        </w:rPr>
      </w:pPr>
      <w:hyperlink w:anchor="_Toc523719576" w:history="1">
        <w:r w:rsidR="00FC22DF" w:rsidRPr="008F6906">
          <w:rPr>
            <w:rStyle w:val="Hyperlink"/>
            <w:noProof/>
          </w:rPr>
          <w:t>Table 17: Distribution Loss Reduction (%) Trajectory for the Control Period</w:t>
        </w:r>
        <w:r w:rsidR="00FC22DF">
          <w:rPr>
            <w:noProof/>
            <w:webHidden/>
          </w:rPr>
          <w:tab/>
        </w:r>
        <w:r>
          <w:rPr>
            <w:noProof/>
            <w:webHidden/>
          </w:rPr>
          <w:fldChar w:fldCharType="begin"/>
        </w:r>
        <w:r w:rsidR="00FC22DF">
          <w:rPr>
            <w:noProof/>
            <w:webHidden/>
          </w:rPr>
          <w:instrText xml:space="preserve"> PAGEREF _Toc523719576 \h </w:instrText>
        </w:r>
        <w:r>
          <w:rPr>
            <w:noProof/>
            <w:webHidden/>
          </w:rPr>
        </w:r>
        <w:r>
          <w:rPr>
            <w:noProof/>
            <w:webHidden/>
          </w:rPr>
          <w:fldChar w:fldCharType="separate"/>
        </w:r>
        <w:r w:rsidR="004B7EE5">
          <w:rPr>
            <w:noProof/>
            <w:webHidden/>
          </w:rPr>
          <w:t>37</w:t>
        </w:r>
        <w:r>
          <w:rPr>
            <w:noProof/>
            <w:webHidden/>
          </w:rPr>
          <w:fldChar w:fldCharType="end"/>
        </w:r>
      </w:hyperlink>
    </w:p>
    <w:p w:rsidR="00FC22DF" w:rsidRDefault="00140E1B">
      <w:pPr>
        <w:pStyle w:val="TableofFigures"/>
        <w:tabs>
          <w:tab w:val="right" w:leader="dot" w:pos="9019"/>
        </w:tabs>
        <w:rPr>
          <w:rFonts w:asciiTheme="minorHAnsi" w:eastAsiaTheme="minorEastAsia" w:hAnsiTheme="minorHAnsi" w:cstheme="minorBidi"/>
          <w:caps w:val="0"/>
          <w:noProof/>
          <w:sz w:val="22"/>
          <w:szCs w:val="22"/>
          <w:lang w:val="en-IN" w:eastAsia="en-IN"/>
        </w:rPr>
      </w:pPr>
      <w:hyperlink w:anchor="_Toc523719577" w:history="1">
        <w:r w:rsidR="00FC22DF" w:rsidRPr="008F6906">
          <w:rPr>
            <w:rStyle w:val="Hyperlink"/>
            <w:noProof/>
          </w:rPr>
          <w:t>Table 18: Energy Balance for the MYT Control Period</w:t>
        </w:r>
        <w:r w:rsidR="00FC22DF">
          <w:rPr>
            <w:noProof/>
            <w:webHidden/>
          </w:rPr>
          <w:tab/>
        </w:r>
        <w:r>
          <w:rPr>
            <w:noProof/>
            <w:webHidden/>
          </w:rPr>
          <w:fldChar w:fldCharType="begin"/>
        </w:r>
        <w:r w:rsidR="00FC22DF">
          <w:rPr>
            <w:noProof/>
            <w:webHidden/>
          </w:rPr>
          <w:instrText xml:space="preserve"> PAGEREF _Toc523719577 \h </w:instrText>
        </w:r>
        <w:r>
          <w:rPr>
            <w:noProof/>
            <w:webHidden/>
          </w:rPr>
        </w:r>
        <w:r>
          <w:rPr>
            <w:noProof/>
            <w:webHidden/>
          </w:rPr>
          <w:fldChar w:fldCharType="separate"/>
        </w:r>
        <w:r w:rsidR="004B7EE5">
          <w:rPr>
            <w:noProof/>
            <w:webHidden/>
          </w:rPr>
          <w:t>38</w:t>
        </w:r>
        <w:r>
          <w:rPr>
            <w:noProof/>
            <w:webHidden/>
          </w:rPr>
          <w:fldChar w:fldCharType="end"/>
        </w:r>
      </w:hyperlink>
    </w:p>
    <w:p w:rsidR="00FC22DF" w:rsidRDefault="00140E1B">
      <w:pPr>
        <w:pStyle w:val="TableofFigures"/>
        <w:tabs>
          <w:tab w:val="right" w:leader="dot" w:pos="9019"/>
        </w:tabs>
        <w:rPr>
          <w:rFonts w:asciiTheme="minorHAnsi" w:eastAsiaTheme="minorEastAsia" w:hAnsiTheme="minorHAnsi" w:cstheme="minorBidi"/>
          <w:caps w:val="0"/>
          <w:noProof/>
          <w:sz w:val="22"/>
          <w:szCs w:val="22"/>
          <w:lang w:val="en-IN" w:eastAsia="en-IN"/>
        </w:rPr>
      </w:pPr>
      <w:hyperlink w:anchor="_Toc523719578" w:history="1">
        <w:r w:rsidR="00FC22DF" w:rsidRPr="008F6906">
          <w:rPr>
            <w:rStyle w:val="Hyperlink"/>
            <w:noProof/>
          </w:rPr>
          <w:t>Table 19: RPO Obligation</w:t>
        </w:r>
        <w:r w:rsidR="00FC22DF">
          <w:rPr>
            <w:noProof/>
            <w:webHidden/>
          </w:rPr>
          <w:tab/>
        </w:r>
        <w:r>
          <w:rPr>
            <w:noProof/>
            <w:webHidden/>
          </w:rPr>
          <w:fldChar w:fldCharType="begin"/>
        </w:r>
        <w:r w:rsidR="00FC22DF">
          <w:rPr>
            <w:noProof/>
            <w:webHidden/>
          </w:rPr>
          <w:instrText xml:space="preserve"> PAGEREF _Toc523719578 \h </w:instrText>
        </w:r>
        <w:r>
          <w:rPr>
            <w:noProof/>
            <w:webHidden/>
          </w:rPr>
        </w:r>
        <w:r>
          <w:rPr>
            <w:noProof/>
            <w:webHidden/>
          </w:rPr>
          <w:fldChar w:fldCharType="separate"/>
        </w:r>
        <w:r w:rsidR="004B7EE5">
          <w:rPr>
            <w:noProof/>
            <w:webHidden/>
          </w:rPr>
          <w:t>41</w:t>
        </w:r>
        <w:r>
          <w:rPr>
            <w:noProof/>
            <w:webHidden/>
          </w:rPr>
          <w:fldChar w:fldCharType="end"/>
        </w:r>
      </w:hyperlink>
    </w:p>
    <w:p w:rsidR="00FC22DF" w:rsidRDefault="00140E1B">
      <w:pPr>
        <w:pStyle w:val="TableofFigures"/>
        <w:tabs>
          <w:tab w:val="right" w:leader="dot" w:pos="9019"/>
        </w:tabs>
        <w:rPr>
          <w:rFonts w:asciiTheme="minorHAnsi" w:eastAsiaTheme="minorEastAsia" w:hAnsiTheme="minorHAnsi" w:cstheme="minorBidi"/>
          <w:caps w:val="0"/>
          <w:noProof/>
          <w:sz w:val="22"/>
          <w:szCs w:val="22"/>
          <w:lang w:val="en-IN" w:eastAsia="en-IN"/>
        </w:rPr>
      </w:pPr>
      <w:hyperlink w:anchor="_Toc523719579" w:history="1">
        <w:r w:rsidR="00FC22DF" w:rsidRPr="008F6906">
          <w:rPr>
            <w:rStyle w:val="Hyperlink"/>
            <w:noProof/>
          </w:rPr>
          <w:t>Table 20: RPO Compliance Cost</w:t>
        </w:r>
        <w:r w:rsidR="00FC22DF">
          <w:rPr>
            <w:noProof/>
            <w:webHidden/>
          </w:rPr>
          <w:tab/>
        </w:r>
        <w:r>
          <w:rPr>
            <w:noProof/>
            <w:webHidden/>
          </w:rPr>
          <w:fldChar w:fldCharType="begin"/>
        </w:r>
        <w:r w:rsidR="00FC22DF">
          <w:rPr>
            <w:noProof/>
            <w:webHidden/>
          </w:rPr>
          <w:instrText xml:space="preserve"> PAGEREF _Toc523719579 \h </w:instrText>
        </w:r>
        <w:r>
          <w:rPr>
            <w:noProof/>
            <w:webHidden/>
          </w:rPr>
        </w:r>
        <w:r>
          <w:rPr>
            <w:noProof/>
            <w:webHidden/>
          </w:rPr>
          <w:fldChar w:fldCharType="separate"/>
        </w:r>
        <w:r w:rsidR="004B7EE5">
          <w:rPr>
            <w:noProof/>
            <w:webHidden/>
          </w:rPr>
          <w:t>42</w:t>
        </w:r>
        <w:r>
          <w:rPr>
            <w:noProof/>
            <w:webHidden/>
          </w:rPr>
          <w:fldChar w:fldCharType="end"/>
        </w:r>
      </w:hyperlink>
    </w:p>
    <w:p w:rsidR="00FC22DF" w:rsidRDefault="00140E1B">
      <w:pPr>
        <w:pStyle w:val="TableofFigures"/>
        <w:tabs>
          <w:tab w:val="right" w:leader="dot" w:pos="9019"/>
        </w:tabs>
        <w:rPr>
          <w:rFonts w:asciiTheme="minorHAnsi" w:eastAsiaTheme="minorEastAsia" w:hAnsiTheme="minorHAnsi" w:cstheme="minorBidi"/>
          <w:caps w:val="0"/>
          <w:noProof/>
          <w:sz w:val="22"/>
          <w:szCs w:val="22"/>
          <w:lang w:val="en-IN" w:eastAsia="en-IN"/>
        </w:rPr>
      </w:pPr>
      <w:hyperlink w:anchor="_Toc523719580" w:history="1">
        <w:r w:rsidR="00FC22DF" w:rsidRPr="008F6906">
          <w:rPr>
            <w:rStyle w:val="Hyperlink"/>
            <w:noProof/>
          </w:rPr>
          <w:t>Table 21: Quantum and Cost of Power Purchase for the MYT Control Period</w:t>
        </w:r>
        <w:r w:rsidR="00FC22DF">
          <w:rPr>
            <w:noProof/>
            <w:webHidden/>
          </w:rPr>
          <w:tab/>
        </w:r>
        <w:r>
          <w:rPr>
            <w:noProof/>
            <w:webHidden/>
          </w:rPr>
          <w:fldChar w:fldCharType="begin"/>
        </w:r>
        <w:r w:rsidR="00FC22DF">
          <w:rPr>
            <w:noProof/>
            <w:webHidden/>
          </w:rPr>
          <w:instrText xml:space="preserve"> PAGEREF _Toc523719580 \h </w:instrText>
        </w:r>
        <w:r>
          <w:rPr>
            <w:noProof/>
            <w:webHidden/>
          </w:rPr>
        </w:r>
        <w:r>
          <w:rPr>
            <w:noProof/>
            <w:webHidden/>
          </w:rPr>
          <w:fldChar w:fldCharType="separate"/>
        </w:r>
        <w:r w:rsidR="004B7EE5">
          <w:rPr>
            <w:noProof/>
            <w:webHidden/>
          </w:rPr>
          <w:t>43</w:t>
        </w:r>
        <w:r>
          <w:rPr>
            <w:noProof/>
            <w:webHidden/>
          </w:rPr>
          <w:fldChar w:fldCharType="end"/>
        </w:r>
      </w:hyperlink>
    </w:p>
    <w:p w:rsidR="00FC22DF" w:rsidRDefault="00140E1B">
      <w:pPr>
        <w:pStyle w:val="TableofFigures"/>
        <w:tabs>
          <w:tab w:val="right" w:leader="dot" w:pos="9019"/>
        </w:tabs>
        <w:rPr>
          <w:rFonts w:asciiTheme="minorHAnsi" w:eastAsiaTheme="minorEastAsia" w:hAnsiTheme="minorHAnsi" w:cstheme="minorBidi"/>
          <w:caps w:val="0"/>
          <w:noProof/>
          <w:sz w:val="22"/>
          <w:szCs w:val="22"/>
          <w:lang w:val="en-IN" w:eastAsia="en-IN"/>
        </w:rPr>
      </w:pPr>
      <w:hyperlink w:anchor="_Toc523719581" w:history="1">
        <w:r w:rsidR="00FC22DF" w:rsidRPr="008F6906">
          <w:rPr>
            <w:rStyle w:val="Hyperlink"/>
            <w:noProof/>
          </w:rPr>
          <w:t>Table 22: Quantum and Cost of Power Purchase for the MYT Control Period</w:t>
        </w:r>
        <w:r w:rsidR="00FC22DF">
          <w:rPr>
            <w:noProof/>
            <w:webHidden/>
          </w:rPr>
          <w:tab/>
        </w:r>
        <w:r>
          <w:rPr>
            <w:noProof/>
            <w:webHidden/>
          </w:rPr>
          <w:fldChar w:fldCharType="begin"/>
        </w:r>
        <w:r w:rsidR="00FC22DF">
          <w:rPr>
            <w:noProof/>
            <w:webHidden/>
          </w:rPr>
          <w:instrText xml:space="preserve"> PAGEREF _Toc523719581 \h </w:instrText>
        </w:r>
        <w:r>
          <w:rPr>
            <w:noProof/>
            <w:webHidden/>
          </w:rPr>
        </w:r>
        <w:r>
          <w:rPr>
            <w:noProof/>
            <w:webHidden/>
          </w:rPr>
          <w:fldChar w:fldCharType="separate"/>
        </w:r>
        <w:r w:rsidR="004B7EE5">
          <w:rPr>
            <w:noProof/>
            <w:webHidden/>
          </w:rPr>
          <w:t>45</w:t>
        </w:r>
        <w:r>
          <w:rPr>
            <w:noProof/>
            <w:webHidden/>
          </w:rPr>
          <w:fldChar w:fldCharType="end"/>
        </w:r>
      </w:hyperlink>
    </w:p>
    <w:p w:rsidR="00FC22DF" w:rsidRDefault="00140E1B">
      <w:pPr>
        <w:pStyle w:val="TableofFigures"/>
        <w:tabs>
          <w:tab w:val="right" w:leader="dot" w:pos="9019"/>
        </w:tabs>
        <w:rPr>
          <w:rFonts w:asciiTheme="minorHAnsi" w:eastAsiaTheme="minorEastAsia" w:hAnsiTheme="minorHAnsi" w:cstheme="minorBidi"/>
          <w:caps w:val="0"/>
          <w:noProof/>
          <w:sz w:val="22"/>
          <w:szCs w:val="22"/>
          <w:lang w:val="en-IN" w:eastAsia="en-IN"/>
        </w:rPr>
      </w:pPr>
      <w:hyperlink w:anchor="_Toc523719582" w:history="1">
        <w:r w:rsidR="00FC22DF" w:rsidRPr="008F6906">
          <w:rPr>
            <w:rStyle w:val="Hyperlink"/>
            <w:noProof/>
          </w:rPr>
          <w:t>Table 23: Proposed Capital Expenditure for Control Period</w:t>
        </w:r>
        <w:r w:rsidR="00FC22DF">
          <w:rPr>
            <w:noProof/>
            <w:webHidden/>
          </w:rPr>
          <w:tab/>
        </w:r>
        <w:r>
          <w:rPr>
            <w:noProof/>
            <w:webHidden/>
          </w:rPr>
          <w:fldChar w:fldCharType="begin"/>
        </w:r>
        <w:r w:rsidR="00FC22DF">
          <w:rPr>
            <w:noProof/>
            <w:webHidden/>
          </w:rPr>
          <w:instrText xml:space="preserve"> PAGEREF _Toc523719582 \h </w:instrText>
        </w:r>
        <w:r>
          <w:rPr>
            <w:noProof/>
            <w:webHidden/>
          </w:rPr>
        </w:r>
        <w:r>
          <w:rPr>
            <w:noProof/>
            <w:webHidden/>
          </w:rPr>
          <w:fldChar w:fldCharType="separate"/>
        </w:r>
        <w:r w:rsidR="004B7EE5">
          <w:rPr>
            <w:noProof/>
            <w:webHidden/>
          </w:rPr>
          <w:t>49</w:t>
        </w:r>
        <w:r>
          <w:rPr>
            <w:noProof/>
            <w:webHidden/>
          </w:rPr>
          <w:fldChar w:fldCharType="end"/>
        </w:r>
      </w:hyperlink>
    </w:p>
    <w:p w:rsidR="00FC22DF" w:rsidRDefault="00140E1B">
      <w:pPr>
        <w:pStyle w:val="TableofFigures"/>
        <w:tabs>
          <w:tab w:val="right" w:leader="dot" w:pos="9019"/>
        </w:tabs>
        <w:rPr>
          <w:rFonts w:asciiTheme="minorHAnsi" w:eastAsiaTheme="minorEastAsia" w:hAnsiTheme="minorHAnsi" w:cstheme="minorBidi"/>
          <w:caps w:val="0"/>
          <w:noProof/>
          <w:sz w:val="22"/>
          <w:szCs w:val="22"/>
          <w:lang w:val="en-IN" w:eastAsia="en-IN"/>
        </w:rPr>
      </w:pPr>
      <w:hyperlink w:anchor="_Toc523719583" w:history="1">
        <w:r w:rsidR="00FC22DF" w:rsidRPr="008F6906">
          <w:rPr>
            <w:rStyle w:val="Hyperlink"/>
            <w:noProof/>
          </w:rPr>
          <w:t>Table 24: Benefits from the scheme</w:t>
        </w:r>
        <w:r w:rsidR="00FC22DF">
          <w:rPr>
            <w:noProof/>
            <w:webHidden/>
          </w:rPr>
          <w:tab/>
        </w:r>
        <w:r>
          <w:rPr>
            <w:noProof/>
            <w:webHidden/>
          </w:rPr>
          <w:fldChar w:fldCharType="begin"/>
        </w:r>
        <w:r w:rsidR="00FC22DF">
          <w:rPr>
            <w:noProof/>
            <w:webHidden/>
          </w:rPr>
          <w:instrText xml:space="preserve"> PAGEREF _Toc523719583 \h </w:instrText>
        </w:r>
        <w:r>
          <w:rPr>
            <w:noProof/>
            <w:webHidden/>
          </w:rPr>
        </w:r>
        <w:r>
          <w:rPr>
            <w:noProof/>
            <w:webHidden/>
          </w:rPr>
          <w:fldChar w:fldCharType="separate"/>
        </w:r>
        <w:r w:rsidR="004B7EE5">
          <w:rPr>
            <w:noProof/>
            <w:webHidden/>
          </w:rPr>
          <w:t>52</w:t>
        </w:r>
        <w:r>
          <w:rPr>
            <w:noProof/>
            <w:webHidden/>
          </w:rPr>
          <w:fldChar w:fldCharType="end"/>
        </w:r>
      </w:hyperlink>
    </w:p>
    <w:p w:rsidR="00FC22DF" w:rsidRDefault="00140E1B">
      <w:pPr>
        <w:pStyle w:val="TableofFigures"/>
        <w:tabs>
          <w:tab w:val="right" w:leader="dot" w:pos="9019"/>
        </w:tabs>
        <w:rPr>
          <w:rFonts w:asciiTheme="minorHAnsi" w:eastAsiaTheme="minorEastAsia" w:hAnsiTheme="minorHAnsi" w:cstheme="minorBidi"/>
          <w:caps w:val="0"/>
          <w:noProof/>
          <w:sz w:val="22"/>
          <w:szCs w:val="22"/>
          <w:lang w:val="en-IN" w:eastAsia="en-IN"/>
        </w:rPr>
      </w:pPr>
      <w:hyperlink w:anchor="_Toc523719584" w:history="1">
        <w:r w:rsidR="00FC22DF" w:rsidRPr="008F6906">
          <w:rPr>
            <w:rStyle w:val="Hyperlink"/>
            <w:noProof/>
          </w:rPr>
          <w:t>Table 25: Funding for Proposed Capital Expenditure for Control Period</w:t>
        </w:r>
        <w:r w:rsidR="00FC22DF">
          <w:rPr>
            <w:noProof/>
            <w:webHidden/>
          </w:rPr>
          <w:tab/>
        </w:r>
        <w:r>
          <w:rPr>
            <w:noProof/>
            <w:webHidden/>
          </w:rPr>
          <w:fldChar w:fldCharType="begin"/>
        </w:r>
        <w:r w:rsidR="00FC22DF">
          <w:rPr>
            <w:noProof/>
            <w:webHidden/>
          </w:rPr>
          <w:instrText xml:space="preserve"> PAGEREF _Toc523719584 \h </w:instrText>
        </w:r>
        <w:r>
          <w:rPr>
            <w:noProof/>
            <w:webHidden/>
          </w:rPr>
        </w:r>
        <w:r>
          <w:rPr>
            <w:noProof/>
            <w:webHidden/>
          </w:rPr>
          <w:fldChar w:fldCharType="separate"/>
        </w:r>
        <w:r w:rsidR="004B7EE5">
          <w:rPr>
            <w:noProof/>
            <w:webHidden/>
          </w:rPr>
          <w:t>55</w:t>
        </w:r>
        <w:r>
          <w:rPr>
            <w:noProof/>
            <w:webHidden/>
          </w:rPr>
          <w:fldChar w:fldCharType="end"/>
        </w:r>
      </w:hyperlink>
    </w:p>
    <w:p w:rsidR="00FC22DF" w:rsidRDefault="00140E1B">
      <w:pPr>
        <w:pStyle w:val="TableofFigures"/>
        <w:tabs>
          <w:tab w:val="right" w:leader="dot" w:pos="9019"/>
        </w:tabs>
        <w:rPr>
          <w:rFonts w:asciiTheme="minorHAnsi" w:eastAsiaTheme="minorEastAsia" w:hAnsiTheme="minorHAnsi" w:cstheme="minorBidi"/>
          <w:caps w:val="0"/>
          <w:noProof/>
          <w:sz w:val="22"/>
          <w:szCs w:val="22"/>
          <w:lang w:val="en-IN" w:eastAsia="en-IN"/>
        </w:rPr>
      </w:pPr>
      <w:hyperlink w:anchor="_Toc523719585" w:history="1">
        <w:r w:rsidR="00FC22DF" w:rsidRPr="008F6906">
          <w:rPr>
            <w:rStyle w:val="Hyperlink"/>
            <w:noProof/>
          </w:rPr>
          <w:t>Table 26: Proposed GFA during the Control Period</w:t>
        </w:r>
        <w:r w:rsidR="00FC22DF">
          <w:rPr>
            <w:noProof/>
            <w:webHidden/>
          </w:rPr>
          <w:tab/>
        </w:r>
        <w:r>
          <w:rPr>
            <w:noProof/>
            <w:webHidden/>
          </w:rPr>
          <w:fldChar w:fldCharType="begin"/>
        </w:r>
        <w:r w:rsidR="00FC22DF">
          <w:rPr>
            <w:noProof/>
            <w:webHidden/>
          </w:rPr>
          <w:instrText xml:space="preserve"> PAGEREF _Toc523719585 \h </w:instrText>
        </w:r>
        <w:r>
          <w:rPr>
            <w:noProof/>
            <w:webHidden/>
          </w:rPr>
        </w:r>
        <w:r>
          <w:rPr>
            <w:noProof/>
            <w:webHidden/>
          </w:rPr>
          <w:fldChar w:fldCharType="separate"/>
        </w:r>
        <w:r w:rsidR="004B7EE5">
          <w:rPr>
            <w:noProof/>
            <w:webHidden/>
          </w:rPr>
          <w:t>56</w:t>
        </w:r>
        <w:r>
          <w:rPr>
            <w:noProof/>
            <w:webHidden/>
          </w:rPr>
          <w:fldChar w:fldCharType="end"/>
        </w:r>
      </w:hyperlink>
    </w:p>
    <w:p w:rsidR="00FC22DF" w:rsidRDefault="00140E1B">
      <w:pPr>
        <w:pStyle w:val="TableofFigures"/>
        <w:tabs>
          <w:tab w:val="right" w:leader="dot" w:pos="9019"/>
        </w:tabs>
        <w:rPr>
          <w:rFonts w:asciiTheme="minorHAnsi" w:eastAsiaTheme="minorEastAsia" w:hAnsiTheme="minorHAnsi" w:cstheme="minorBidi"/>
          <w:caps w:val="0"/>
          <w:noProof/>
          <w:sz w:val="22"/>
          <w:szCs w:val="22"/>
          <w:lang w:val="en-IN" w:eastAsia="en-IN"/>
        </w:rPr>
      </w:pPr>
      <w:hyperlink w:anchor="_Toc523719586" w:history="1">
        <w:r w:rsidR="00FC22DF" w:rsidRPr="008F6906">
          <w:rPr>
            <w:rStyle w:val="Hyperlink"/>
            <w:noProof/>
          </w:rPr>
          <w:t>Table 27: Proposed No. of Employees during the Control Period</w:t>
        </w:r>
        <w:r w:rsidR="00FC22DF">
          <w:rPr>
            <w:noProof/>
            <w:webHidden/>
          </w:rPr>
          <w:tab/>
        </w:r>
        <w:r>
          <w:rPr>
            <w:noProof/>
            <w:webHidden/>
          </w:rPr>
          <w:fldChar w:fldCharType="begin"/>
        </w:r>
        <w:r w:rsidR="00FC22DF">
          <w:rPr>
            <w:noProof/>
            <w:webHidden/>
          </w:rPr>
          <w:instrText xml:space="preserve"> PAGEREF _Toc523719586 \h </w:instrText>
        </w:r>
        <w:r>
          <w:rPr>
            <w:noProof/>
            <w:webHidden/>
          </w:rPr>
        </w:r>
        <w:r>
          <w:rPr>
            <w:noProof/>
            <w:webHidden/>
          </w:rPr>
          <w:fldChar w:fldCharType="separate"/>
        </w:r>
        <w:r w:rsidR="004B7EE5">
          <w:rPr>
            <w:noProof/>
            <w:webHidden/>
          </w:rPr>
          <w:t>58</w:t>
        </w:r>
        <w:r>
          <w:rPr>
            <w:noProof/>
            <w:webHidden/>
          </w:rPr>
          <w:fldChar w:fldCharType="end"/>
        </w:r>
      </w:hyperlink>
    </w:p>
    <w:p w:rsidR="00FC22DF" w:rsidRDefault="00140E1B">
      <w:pPr>
        <w:pStyle w:val="TableofFigures"/>
        <w:tabs>
          <w:tab w:val="right" w:leader="dot" w:pos="9019"/>
        </w:tabs>
        <w:rPr>
          <w:rFonts w:asciiTheme="minorHAnsi" w:eastAsiaTheme="minorEastAsia" w:hAnsiTheme="minorHAnsi" w:cstheme="minorBidi"/>
          <w:caps w:val="0"/>
          <w:noProof/>
          <w:sz w:val="22"/>
          <w:szCs w:val="22"/>
          <w:lang w:val="en-IN" w:eastAsia="en-IN"/>
        </w:rPr>
      </w:pPr>
      <w:hyperlink w:anchor="_Toc523719587" w:history="1">
        <w:r w:rsidR="00FC22DF" w:rsidRPr="008F6906">
          <w:rPr>
            <w:rStyle w:val="Hyperlink"/>
            <w:noProof/>
          </w:rPr>
          <w:t>Table 28 : Wire and Supply business allocation</w:t>
        </w:r>
        <w:r w:rsidR="00FC22DF">
          <w:rPr>
            <w:noProof/>
            <w:webHidden/>
          </w:rPr>
          <w:tab/>
        </w:r>
        <w:r>
          <w:rPr>
            <w:noProof/>
            <w:webHidden/>
          </w:rPr>
          <w:fldChar w:fldCharType="begin"/>
        </w:r>
        <w:r w:rsidR="00FC22DF">
          <w:rPr>
            <w:noProof/>
            <w:webHidden/>
          </w:rPr>
          <w:instrText xml:space="preserve"> PAGEREF _Toc523719587 \h </w:instrText>
        </w:r>
        <w:r>
          <w:rPr>
            <w:noProof/>
            <w:webHidden/>
          </w:rPr>
        </w:r>
        <w:r>
          <w:rPr>
            <w:noProof/>
            <w:webHidden/>
          </w:rPr>
          <w:fldChar w:fldCharType="separate"/>
        </w:r>
        <w:r w:rsidR="004B7EE5">
          <w:rPr>
            <w:noProof/>
            <w:webHidden/>
          </w:rPr>
          <w:t>59</w:t>
        </w:r>
        <w:r>
          <w:rPr>
            <w:noProof/>
            <w:webHidden/>
          </w:rPr>
          <w:fldChar w:fldCharType="end"/>
        </w:r>
      </w:hyperlink>
    </w:p>
    <w:p w:rsidR="00FC22DF" w:rsidRDefault="00140E1B">
      <w:pPr>
        <w:pStyle w:val="TableofFigures"/>
        <w:tabs>
          <w:tab w:val="right" w:leader="dot" w:pos="9019"/>
        </w:tabs>
        <w:rPr>
          <w:rFonts w:asciiTheme="minorHAnsi" w:eastAsiaTheme="minorEastAsia" w:hAnsiTheme="minorHAnsi" w:cstheme="minorBidi"/>
          <w:caps w:val="0"/>
          <w:noProof/>
          <w:sz w:val="22"/>
          <w:szCs w:val="22"/>
          <w:lang w:val="en-IN" w:eastAsia="en-IN"/>
        </w:rPr>
      </w:pPr>
      <w:hyperlink w:anchor="_Toc523719588" w:history="1">
        <w:r w:rsidR="00FC22DF" w:rsidRPr="008F6906">
          <w:rPr>
            <w:rStyle w:val="Hyperlink"/>
            <w:noProof/>
          </w:rPr>
          <w:t>Table 29: Proposed Capital Expenditure for the Distribution Wire Business during the Control Period (Rs. Cr)</w:t>
        </w:r>
        <w:r w:rsidR="00FC22DF">
          <w:rPr>
            <w:noProof/>
            <w:webHidden/>
          </w:rPr>
          <w:tab/>
        </w:r>
        <w:r>
          <w:rPr>
            <w:noProof/>
            <w:webHidden/>
          </w:rPr>
          <w:fldChar w:fldCharType="begin"/>
        </w:r>
        <w:r w:rsidR="00FC22DF">
          <w:rPr>
            <w:noProof/>
            <w:webHidden/>
          </w:rPr>
          <w:instrText xml:space="preserve"> PAGEREF _Toc523719588 \h </w:instrText>
        </w:r>
        <w:r>
          <w:rPr>
            <w:noProof/>
            <w:webHidden/>
          </w:rPr>
        </w:r>
        <w:r>
          <w:rPr>
            <w:noProof/>
            <w:webHidden/>
          </w:rPr>
          <w:fldChar w:fldCharType="separate"/>
        </w:r>
        <w:r w:rsidR="004B7EE5">
          <w:rPr>
            <w:noProof/>
            <w:webHidden/>
          </w:rPr>
          <w:t>60</w:t>
        </w:r>
        <w:r>
          <w:rPr>
            <w:noProof/>
            <w:webHidden/>
          </w:rPr>
          <w:fldChar w:fldCharType="end"/>
        </w:r>
      </w:hyperlink>
    </w:p>
    <w:p w:rsidR="00FC22DF" w:rsidRDefault="00140E1B">
      <w:pPr>
        <w:pStyle w:val="TableofFigures"/>
        <w:tabs>
          <w:tab w:val="right" w:leader="dot" w:pos="9019"/>
        </w:tabs>
        <w:rPr>
          <w:rFonts w:asciiTheme="minorHAnsi" w:eastAsiaTheme="minorEastAsia" w:hAnsiTheme="minorHAnsi" w:cstheme="minorBidi"/>
          <w:caps w:val="0"/>
          <w:noProof/>
          <w:sz w:val="22"/>
          <w:szCs w:val="22"/>
          <w:lang w:val="en-IN" w:eastAsia="en-IN"/>
        </w:rPr>
      </w:pPr>
      <w:hyperlink w:anchor="_Toc523719589" w:history="1">
        <w:r w:rsidR="00FC22DF" w:rsidRPr="008F6906">
          <w:rPr>
            <w:rStyle w:val="Hyperlink"/>
            <w:noProof/>
          </w:rPr>
          <w:t>Table 30: Proposed GFA for the Distribution Wire Business during the Control Period</w:t>
        </w:r>
        <w:r w:rsidR="00FC22DF">
          <w:rPr>
            <w:noProof/>
            <w:webHidden/>
          </w:rPr>
          <w:tab/>
        </w:r>
        <w:r>
          <w:rPr>
            <w:noProof/>
            <w:webHidden/>
          </w:rPr>
          <w:fldChar w:fldCharType="begin"/>
        </w:r>
        <w:r w:rsidR="00FC22DF">
          <w:rPr>
            <w:noProof/>
            <w:webHidden/>
          </w:rPr>
          <w:instrText xml:space="preserve"> PAGEREF _Toc523719589 \h </w:instrText>
        </w:r>
        <w:r>
          <w:rPr>
            <w:noProof/>
            <w:webHidden/>
          </w:rPr>
        </w:r>
        <w:r>
          <w:rPr>
            <w:noProof/>
            <w:webHidden/>
          </w:rPr>
          <w:fldChar w:fldCharType="separate"/>
        </w:r>
        <w:r w:rsidR="004B7EE5">
          <w:rPr>
            <w:noProof/>
            <w:webHidden/>
          </w:rPr>
          <w:t>60</w:t>
        </w:r>
        <w:r>
          <w:rPr>
            <w:noProof/>
            <w:webHidden/>
          </w:rPr>
          <w:fldChar w:fldCharType="end"/>
        </w:r>
      </w:hyperlink>
    </w:p>
    <w:p w:rsidR="00FC22DF" w:rsidRDefault="00140E1B">
      <w:pPr>
        <w:pStyle w:val="TableofFigures"/>
        <w:tabs>
          <w:tab w:val="right" w:leader="dot" w:pos="9019"/>
        </w:tabs>
        <w:rPr>
          <w:rFonts w:asciiTheme="minorHAnsi" w:eastAsiaTheme="minorEastAsia" w:hAnsiTheme="minorHAnsi" w:cstheme="minorBidi"/>
          <w:caps w:val="0"/>
          <w:noProof/>
          <w:sz w:val="22"/>
          <w:szCs w:val="22"/>
          <w:lang w:val="en-IN" w:eastAsia="en-IN"/>
        </w:rPr>
      </w:pPr>
      <w:hyperlink w:anchor="_Toc523719590" w:history="1">
        <w:r w:rsidR="00FC22DF" w:rsidRPr="008F6906">
          <w:rPr>
            <w:rStyle w:val="Hyperlink"/>
            <w:noProof/>
          </w:rPr>
          <w:t>Table 31: Power Purchase Expenses for the Distribution Supply Business during the Control Period (Rs. Cr)</w:t>
        </w:r>
        <w:r w:rsidR="00FC22DF">
          <w:rPr>
            <w:noProof/>
            <w:webHidden/>
          </w:rPr>
          <w:tab/>
        </w:r>
        <w:r>
          <w:rPr>
            <w:noProof/>
            <w:webHidden/>
          </w:rPr>
          <w:fldChar w:fldCharType="begin"/>
        </w:r>
        <w:r w:rsidR="00FC22DF">
          <w:rPr>
            <w:noProof/>
            <w:webHidden/>
          </w:rPr>
          <w:instrText xml:space="preserve"> PAGEREF _Toc523719590 \h </w:instrText>
        </w:r>
        <w:r>
          <w:rPr>
            <w:noProof/>
            <w:webHidden/>
          </w:rPr>
        </w:r>
        <w:r>
          <w:rPr>
            <w:noProof/>
            <w:webHidden/>
          </w:rPr>
          <w:fldChar w:fldCharType="separate"/>
        </w:r>
        <w:r w:rsidR="004B7EE5">
          <w:rPr>
            <w:noProof/>
            <w:webHidden/>
          </w:rPr>
          <w:t>61</w:t>
        </w:r>
        <w:r>
          <w:rPr>
            <w:noProof/>
            <w:webHidden/>
          </w:rPr>
          <w:fldChar w:fldCharType="end"/>
        </w:r>
      </w:hyperlink>
    </w:p>
    <w:p w:rsidR="00FC22DF" w:rsidRDefault="00140E1B">
      <w:pPr>
        <w:pStyle w:val="TableofFigures"/>
        <w:tabs>
          <w:tab w:val="right" w:leader="dot" w:pos="9019"/>
        </w:tabs>
        <w:rPr>
          <w:rFonts w:asciiTheme="minorHAnsi" w:eastAsiaTheme="minorEastAsia" w:hAnsiTheme="minorHAnsi" w:cstheme="minorBidi"/>
          <w:caps w:val="0"/>
          <w:noProof/>
          <w:sz w:val="22"/>
          <w:szCs w:val="22"/>
          <w:lang w:val="en-IN" w:eastAsia="en-IN"/>
        </w:rPr>
      </w:pPr>
      <w:hyperlink w:anchor="_Toc523719591" w:history="1">
        <w:r w:rsidR="00FC22DF" w:rsidRPr="008F6906">
          <w:rPr>
            <w:rStyle w:val="Hyperlink"/>
            <w:noProof/>
          </w:rPr>
          <w:t>Table 32: Proposed Capital Expenditure for the Distribution Supply Business during the Control Period (Rs. Cr)</w:t>
        </w:r>
        <w:r w:rsidR="00FC22DF">
          <w:rPr>
            <w:noProof/>
            <w:webHidden/>
          </w:rPr>
          <w:tab/>
        </w:r>
        <w:r>
          <w:rPr>
            <w:noProof/>
            <w:webHidden/>
          </w:rPr>
          <w:fldChar w:fldCharType="begin"/>
        </w:r>
        <w:r w:rsidR="00FC22DF">
          <w:rPr>
            <w:noProof/>
            <w:webHidden/>
          </w:rPr>
          <w:instrText xml:space="preserve"> PAGEREF _Toc523719591 \h </w:instrText>
        </w:r>
        <w:r>
          <w:rPr>
            <w:noProof/>
            <w:webHidden/>
          </w:rPr>
        </w:r>
        <w:r>
          <w:rPr>
            <w:noProof/>
            <w:webHidden/>
          </w:rPr>
          <w:fldChar w:fldCharType="separate"/>
        </w:r>
        <w:r w:rsidR="004B7EE5">
          <w:rPr>
            <w:noProof/>
            <w:webHidden/>
          </w:rPr>
          <w:t>61</w:t>
        </w:r>
        <w:r>
          <w:rPr>
            <w:noProof/>
            <w:webHidden/>
          </w:rPr>
          <w:fldChar w:fldCharType="end"/>
        </w:r>
      </w:hyperlink>
    </w:p>
    <w:p w:rsidR="00FC22DF" w:rsidRDefault="00140E1B">
      <w:pPr>
        <w:pStyle w:val="TableofFigures"/>
        <w:tabs>
          <w:tab w:val="right" w:leader="dot" w:pos="9019"/>
        </w:tabs>
        <w:rPr>
          <w:rFonts w:asciiTheme="minorHAnsi" w:eastAsiaTheme="minorEastAsia" w:hAnsiTheme="minorHAnsi" w:cstheme="minorBidi"/>
          <w:caps w:val="0"/>
          <w:noProof/>
          <w:sz w:val="22"/>
          <w:szCs w:val="22"/>
          <w:lang w:val="en-IN" w:eastAsia="en-IN"/>
        </w:rPr>
      </w:pPr>
      <w:hyperlink w:anchor="_Toc523719592" w:history="1">
        <w:r w:rsidR="00FC22DF" w:rsidRPr="008F6906">
          <w:rPr>
            <w:rStyle w:val="Hyperlink"/>
            <w:noProof/>
          </w:rPr>
          <w:t>Table 33: Proposed GFA for the Distribution Supply Business during the Control Period</w:t>
        </w:r>
        <w:r w:rsidR="00FC22DF">
          <w:rPr>
            <w:noProof/>
            <w:webHidden/>
          </w:rPr>
          <w:tab/>
        </w:r>
        <w:r>
          <w:rPr>
            <w:noProof/>
            <w:webHidden/>
          </w:rPr>
          <w:fldChar w:fldCharType="begin"/>
        </w:r>
        <w:r w:rsidR="00FC22DF">
          <w:rPr>
            <w:noProof/>
            <w:webHidden/>
          </w:rPr>
          <w:instrText xml:space="preserve"> PAGEREF _Toc523719592 \h </w:instrText>
        </w:r>
        <w:r>
          <w:rPr>
            <w:noProof/>
            <w:webHidden/>
          </w:rPr>
        </w:r>
        <w:r>
          <w:rPr>
            <w:noProof/>
            <w:webHidden/>
          </w:rPr>
          <w:fldChar w:fldCharType="separate"/>
        </w:r>
        <w:r w:rsidR="004B7EE5">
          <w:rPr>
            <w:noProof/>
            <w:webHidden/>
          </w:rPr>
          <w:t>61</w:t>
        </w:r>
        <w:r>
          <w:rPr>
            <w:noProof/>
            <w:webHidden/>
          </w:rPr>
          <w:fldChar w:fldCharType="end"/>
        </w:r>
      </w:hyperlink>
    </w:p>
    <w:p w:rsidR="00C6078C" w:rsidRDefault="00140E1B" w:rsidP="006D7315">
      <w:pPr>
        <w:jc w:val="center"/>
        <w:rPr>
          <w:rFonts w:cs="Calibri"/>
          <w:b/>
          <w:caps/>
          <w:sz w:val="20"/>
          <w:szCs w:val="20"/>
        </w:rPr>
      </w:pPr>
      <w:r w:rsidRPr="009F089F">
        <w:rPr>
          <w:rFonts w:cs="Calibri"/>
          <w:b/>
          <w:caps/>
          <w:sz w:val="20"/>
          <w:szCs w:val="20"/>
        </w:rPr>
        <w:fldChar w:fldCharType="end"/>
      </w:r>
    </w:p>
    <w:p w:rsidR="00246492" w:rsidRPr="00132C0A" w:rsidRDefault="00246492" w:rsidP="006D7315">
      <w:pPr>
        <w:jc w:val="center"/>
        <w:rPr>
          <w:b/>
        </w:rPr>
      </w:pPr>
    </w:p>
    <w:p w:rsidR="00087D96" w:rsidRPr="00081644" w:rsidRDefault="00081644" w:rsidP="00081644">
      <w:pPr>
        <w:spacing w:line="360" w:lineRule="auto"/>
        <w:ind w:left="1440" w:hanging="1440"/>
        <w:jc w:val="center"/>
        <w:rPr>
          <w:b/>
          <w:iCs/>
          <w:sz w:val="22"/>
          <w:u w:val="single"/>
        </w:rPr>
      </w:pPr>
      <w:r w:rsidRPr="00081644">
        <w:rPr>
          <w:b/>
          <w:iCs/>
          <w:sz w:val="22"/>
          <w:u w:val="single"/>
        </w:rPr>
        <w:t>LIST OF ANNEXURES</w:t>
      </w:r>
    </w:p>
    <w:p w:rsidR="00212940" w:rsidRDefault="00140E1B">
      <w:pPr>
        <w:pStyle w:val="TableofFigures"/>
        <w:tabs>
          <w:tab w:val="right" w:leader="dot" w:pos="9019"/>
        </w:tabs>
        <w:rPr>
          <w:rFonts w:asciiTheme="minorHAnsi" w:eastAsiaTheme="minorEastAsia" w:hAnsiTheme="minorHAnsi" w:cstheme="minorBidi"/>
          <w:caps w:val="0"/>
          <w:noProof/>
          <w:sz w:val="22"/>
          <w:szCs w:val="22"/>
          <w:lang w:val="en-IN" w:eastAsia="en-IN"/>
        </w:rPr>
      </w:pPr>
      <w:r w:rsidRPr="00140E1B">
        <w:rPr>
          <w:bCs/>
          <w:iCs/>
          <w:sz w:val="22"/>
        </w:rPr>
        <w:fldChar w:fldCharType="begin"/>
      </w:r>
      <w:r w:rsidR="0013537D">
        <w:rPr>
          <w:bCs/>
          <w:iCs/>
          <w:sz w:val="22"/>
        </w:rPr>
        <w:instrText xml:space="preserve"> TOC \h \z \c "Annexure" </w:instrText>
      </w:r>
      <w:r w:rsidRPr="00140E1B">
        <w:rPr>
          <w:bCs/>
          <w:iCs/>
          <w:sz w:val="22"/>
        </w:rPr>
        <w:fldChar w:fldCharType="separate"/>
      </w:r>
      <w:hyperlink w:anchor="_Toc523740871" w:history="1">
        <w:r w:rsidR="00212940" w:rsidRPr="00B3034B">
          <w:rPr>
            <w:rStyle w:val="Hyperlink"/>
            <w:noProof/>
          </w:rPr>
          <w:t>Annexure 1: AUDITED ANNUAL ACCOUNTS OF PED FOR FY 2014-15</w:t>
        </w:r>
        <w:r w:rsidR="00212940">
          <w:rPr>
            <w:noProof/>
            <w:webHidden/>
          </w:rPr>
          <w:tab/>
        </w:r>
        <w:r>
          <w:rPr>
            <w:noProof/>
            <w:webHidden/>
          </w:rPr>
          <w:fldChar w:fldCharType="begin"/>
        </w:r>
        <w:r w:rsidR="00212940">
          <w:rPr>
            <w:noProof/>
            <w:webHidden/>
          </w:rPr>
          <w:instrText xml:space="preserve"> PAGEREF _Toc523740871 \h </w:instrText>
        </w:r>
        <w:r>
          <w:rPr>
            <w:noProof/>
            <w:webHidden/>
          </w:rPr>
        </w:r>
        <w:r>
          <w:rPr>
            <w:noProof/>
            <w:webHidden/>
          </w:rPr>
          <w:fldChar w:fldCharType="separate"/>
        </w:r>
        <w:r w:rsidR="004B7EE5">
          <w:rPr>
            <w:noProof/>
            <w:webHidden/>
          </w:rPr>
          <w:t>63</w:t>
        </w:r>
        <w:r>
          <w:rPr>
            <w:noProof/>
            <w:webHidden/>
          </w:rPr>
          <w:fldChar w:fldCharType="end"/>
        </w:r>
      </w:hyperlink>
    </w:p>
    <w:p w:rsidR="00212940" w:rsidRDefault="00140E1B">
      <w:pPr>
        <w:pStyle w:val="TableofFigures"/>
        <w:tabs>
          <w:tab w:val="right" w:leader="dot" w:pos="9019"/>
        </w:tabs>
        <w:rPr>
          <w:rFonts w:asciiTheme="minorHAnsi" w:eastAsiaTheme="minorEastAsia" w:hAnsiTheme="minorHAnsi" w:cstheme="minorBidi"/>
          <w:caps w:val="0"/>
          <w:noProof/>
          <w:sz w:val="22"/>
          <w:szCs w:val="22"/>
          <w:lang w:val="en-IN" w:eastAsia="en-IN"/>
        </w:rPr>
      </w:pPr>
      <w:hyperlink w:anchor="_Toc523740872" w:history="1">
        <w:r w:rsidR="00212940" w:rsidRPr="00B3034B">
          <w:rPr>
            <w:rStyle w:val="Hyperlink"/>
            <w:noProof/>
          </w:rPr>
          <w:t>Annexure 2: AUDITED ANNUAL ACCOUNTS OF PED FOR FY 2015-16</w:t>
        </w:r>
        <w:r w:rsidR="00212940">
          <w:rPr>
            <w:noProof/>
            <w:webHidden/>
          </w:rPr>
          <w:tab/>
        </w:r>
        <w:r>
          <w:rPr>
            <w:noProof/>
            <w:webHidden/>
          </w:rPr>
          <w:fldChar w:fldCharType="begin"/>
        </w:r>
        <w:r w:rsidR="00212940">
          <w:rPr>
            <w:noProof/>
            <w:webHidden/>
          </w:rPr>
          <w:instrText xml:space="preserve"> PAGEREF _Toc523740872 \h </w:instrText>
        </w:r>
        <w:r>
          <w:rPr>
            <w:noProof/>
            <w:webHidden/>
          </w:rPr>
        </w:r>
        <w:r>
          <w:rPr>
            <w:noProof/>
            <w:webHidden/>
          </w:rPr>
          <w:fldChar w:fldCharType="separate"/>
        </w:r>
        <w:r w:rsidR="004B7EE5">
          <w:rPr>
            <w:noProof/>
            <w:webHidden/>
          </w:rPr>
          <w:t>63</w:t>
        </w:r>
        <w:r>
          <w:rPr>
            <w:noProof/>
            <w:webHidden/>
          </w:rPr>
          <w:fldChar w:fldCharType="end"/>
        </w:r>
      </w:hyperlink>
    </w:p>
    <w:p w:rsidR="00212940" w:rsidRDefault="00140E1B">
      <w:pPr>
        <w:pStyle w:val="TableofFigures"/>
        <w:tabs>
          <w:tab w:val="right" w:leader="dot" w:pos="9019"/>
        </w:tabs>
        <w:rPr>
          <w:rFonts w:asciiTheme="minorHAnsi" w:eastAsiaTheme="minorEastAsia" w:hAnsiTheme="minorHAnsi" w:cstheme="minorBidi"/>
          <w:caps w:val="0"/>
          <w:noProof/>
          <w:sz w:val="22"/>
          <w:szCs w:val="22"/>
          <w:lang w:val="en-IN" w:eastAsia="en-IN"/>
        </w:rPr>
      </w:pPr>
      <w:hyperlink w:anchor="_Toc523740873" w:history="1">
        <w:r w:rsidR="00212940" w:rsidRPr="00B3034B">
          <w:rPr>
            <w:rStyle w:val="Hyperlink"/>
            <w:noProof/>
          </w:rPr>
          <w:t>Annexure 3: AUDITED ANNUAL ACCOUNTS OF PED FOR FY 2016-17</w:t>
        </w:r>
        <w:r w:rsidR="00212940">
          <w:rPr>
            <w:noProof/>
            <w:webHidden/>
          </w:rPr>
          <w:tab/>
        </w:r>
        <w:r>
          <w:rPr>
            <w:noProof/>
            <w:webHidden/>
          </w:rPr>
          <w:fldChar w:fldCharType="begin"/>
        </w:r>
        <w:r w:rsidR="00212940">
          <w:rPr>
            <w:noProof/>
            <w:webHidden/>
          </w:rPr>
          <w:instrText xml:space="preserve"> PAGEREF _Toc523740873 \h </w:instrText>
        </w:r>
        <w:r>
          <w:rPr>
            <w:noProof/>
            <w:webHidden/>
          </w:rPr>
        </w:r>
        <w:r>
          <w:rPr>
            <w:noProof/>
            <w:webHidden/>
          </w:rPr>
          <w:fldChar w:fldCharType="separate"/>
        </w:r>
        <w:r w:rsidR="004B7EE5">
          <w:rPr>
            <w:noProof/>
            <w:webHidden/>
          </w:rPr>
          <w:t>63</w:t>
        </w:r>
        <w:r>
          <w:rPr>
            <w:noProof/>
            <w:webHidden/>
          </w:rPr>
          <w:fldChar w:fldCharType="end"/>
        </w:r>
      </w:hyperlink>
    </w:p>
    <w:p w:rsidR="00DC3153" w:rsidRDefault="00140E1B" w:rsidP="0013537D">
      <w:pPr>
        <w:spacing w:line="360" w:lineRule="auto"/>
        <w:ind w:left="1260" w:hanging="1260"/>
        <w:rPr>
          <w:bCs/>
          <w:iCs/>
          <w:sz w:val="22"/>
        </w:rPr>
      </w:pPr>
      <w:r>
        <w:rPr>
          <w:bCs/>
          <w:iCs/>
          <w:sz w:val="22"/>
        </w:rPr>
        <w:fldChar w:fldCharType="end"/>
      </w:r>
    </w:p>
    <w:p w:rsidR="00087D96" w:rsidRDefault="00087D96" w:rsidP="00C77A08">
      <w:pPr>
        <w:spacing w:line="360" w:lineRule="auto"/>
        <w:ind w:left="1440" w:hanging="1440"/>
        <w:rPr>
          <w:bCs/>
          <w:iCs/>
          <w:sz w:val="22"/>
        </w:rPr>
      </w:pPr>
    </w:p>
    <w:p w:rsidR="00087D96" w:rsidRDefault="00087D96" w:rsidP="00C77A08">
      <w:pPr>
        <w:spacing w:line="360" w:lineRule="auto"/>
        <w:ind w:left="1440" w:hanging="1440"/>
        <w:rPr>
          <w:bCs/>
          <w:iCs/>
          <w:sz w:val="22"/>
        </w:rPr>
      </w:pPr>
    </w:p>
    <w:p w:rsidR="00752F97" w:rsidRDefault="00752F97">
      <w:pPr>
        <w:spacing w:line="240" w:lineRule="auto"/>
        <w:jc w:val="left"/>
        <w:rPr>
          <w:b/>
        </w:rPr>
      </w:pPr>
      <w:r>
        <w:rPr>
          <w:b/>
        </w:rPr>
        <w:br w:type="page"/>
      </w:r>
    </w:p>
    <w:p w:rsidR="00E47514" w:rsidRDefault="00E47514" w:rsidP="00E47514">
      <w:pPr>
        <w:jc w:val="center"/>
        <w:rPr>
          <w:b/>
        </w:rPr>
      </w:pPr>
      <w:r w:rsidRPr="00E47514">
        <w:rPr>
          <w:b/>
        </w:rPr>
        <w:lastRenderedPageBreak/>
        <w:t>LIST OF ABBREVIATIONS</w:t>
      </w:r>
    </w:p>
    <w:p w:rsidR="00BF0342" w:rsidRPr="00E47514" w:rsidRDefault="00BF0342" w:rsidP="00E47514">
      <w:pPr>
        <w:jc w:val="center"/>
        <w:rPr>
          <w:b/>
        </w:rPr>
      </w:pPr>
    </w:p>
    <w:tbl>
      <w:tblPr>
        <w:tblW w:w="0" w:type="auto"/>
        <w:tblInd w:w="98" w:type="dxa"/>
        <w:tblLook w:val="04A0"/>
      </w:tblPr>
      <w:tblGrid>
        <w:gridCol w:w="821"/>
        <w:gridCol w:w="1612"/>
        <w:gridCol w:w="6667"/>
      </w:tblGrid>
      <w:tr w:rsidR="00091BEA" w:rsidRPr="00091BEA" w:rsidTr="00091BEA">
        <w:trPr>
          <w:trHeight w:val="330"/>
          <w:tblHeader/>
        </w:trPr>
        <w:tc>
          <w:tcPr>
            <w:tcW w:w="0" w:type="auto"/>
            <w:tcBorders>
              <w:top w:val="single" w:sz="8" w:space="0" w:color="auto"/>
              <w:left w:val="single" w:sz="8" w:space="0" w:color="auto"/>
              <w:bottom w:val="single" w:sz="8" w:space="0" w:color="auto"/>
              <w:right w:val="single" w:sz="8" w:space="0" w:color="auto"/>
            </w:tcBorders>
            <w:shd w:val="clear" w:color="000000" w:fill="8DB4E3"/>
            <w:vAlign w:val="center"/>
            <w:hideMark/>
          </w:tcPr>
          <w:p w:rsidR="00091BEA" w:rsidRPr="00091BEA" w:rsidRDefault="00091BEA" w:rsidP="00091BEA">
            <w:pPr>
              <w:spacing w:line="240" w:lineRule="auto"/>
              <w:jc w:val="center"/>
              <w:rPr>
                <w:rFonts w:cs="Calibri"/>
                <w:b/>
                <w:bCs/>
                <w:color w:val="000000"/>
                <w:lang w:val="en-US" w:bidi="ta-IN"/>
              </w:rPr>
            </w:pPr>
            <w:r w:rsidRPr="00091BEA">
              <w:rPr>
                <w:rFonts w:cs="Calibri"/>
                <w:b/>
                <w:bCs/>
                <w:color w:val="000000"/>
                <w:lang w:bidi="ta-IN"/>
              </w:rPr>
              <w:t>Sr. No</w:t>
            </w:r>
          </w:p>
        </w:tc>
        <w:tc>
          <w:tcPr>
            <w:tcW w:w="0" w:type="auto"/>
            <w:tcBorders>
              <w:top w:val="single" w:sz="8" w:space="0" w:color="auto"/>
              <w:left w:val="nil"/>
              <w:bottom w:val="single" w:sz="8" w:space="0" w:color="auto"/>
              <w:right w:val="single" w:sz="8" w:space="0" w:color="auto"/>
            </w:tcBorders>
            <w:shd w:val="clear" w:color="000000" w:fill="8DB4E3"/>
            <w:vAlign w:val="center"/>
            <w:hideMark/>
          </w:tcPr>
          <w:p w:rsidR="00091BEA" w:rsidRPr="00091BEA" w:rsidRDefault="00091BEA" w:rsidP="00091BEA">
            <w:pPr>
              <w:spacing w:line="240" w:lineRule="auto"/>
              <w:jc w:val="center"/>
              <w:rPr>
                <w:rFonts w:cs="Calibri"/>
                <w:b/>
                <w:bCs/>
                <w:color w:val="000000"/>
                <w:lang w:val="en-US" w:bidi="ta-IN"/>
              </w:rPr>
            </w:pPr>
            <w:r w:rsidRPr="00091BEA">
              <w:rPr>
                <w:rFonts w:cs="Calibri"/>
                <w:b/>
                <w:bCs/>
                <w:color w:val="000000"/>
                <w:lang w:bidi="ta-IN"/>
              </w:rPr>
              <w:t>Abbreviations</w:t>
            </w:r>
          </w:p>
        </w:tc>
        <w:tc>
          <w:tcPr>
            <w:tcW w:w="0" w:type="auto"/>
            <w:tcBorders>
              <w:top w:val="single" w:sz="8" w:space="0" w:color="auto"/>
              <w:left w:val="nil"/>
              <w:bottom w:val="single" w:sz="8" w:space="0" w:color="auto"/>
              <w:right w:val="single" w:sz="8" w:space="0" w:color="auto"/>
            </w:tcBorders>
            <w:shd w:val="clear" w:color="000000" w:fill="8DB4E3"/>
            <w:vAlign w:val="center"/>
            <w:hideMark/>
          </w:tcPr>
          <w:p w:rsidR="00091BEA" w:rsidRPr="00091BEA" w:rsidRDefault="00091BEA" w:rsidP="00091BEA">
            <w:pPr>
              <w:spacing w:line="240" w:lineRule="auto"/>
              <w:jc w:val="center"/>
              <w:rPr>
                <w:rFonts w:cs="Calibri"/>
                <w:b/>
                <w:bCs/>
                <w:color w:val="000000"/>
                <w:lang w:val="en-US" w:bidi="ta-IN"/>
              </w:rPr>
            </w:pPr>
            <w:r w:rsidRPr="00091BEA">
              <w:rPr>
                <w:rFonts w:cs="Calibri"/>
                <w:b/>
                <w:bCs/>
                <w:color w:val="000000"/>
                <w:lang w:bidi="ta-IN"/>
              </w:rPr>
              <w:t>Descriptions</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1</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A&amp;G</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Administrative and General</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2</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ABT</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Availability Based Tariff</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3</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ACoS</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Average Cost of Supply/ Service</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4</w:t>
            </w:r>
          </w:p>
        </w:tc>
        <w:tc>
          <w:tcPr>
            <w:tcW w:w="0" w:type="auto"/>
            <w:tcBorders>
              <w:top w:val="nil"/>
              <w:left w:val="nil"/>
              <w:bottom w:val="single" w:sz="8" w:space="0" w:color="auto"/>
              <w:right w:val="single" w:sz="8" w:space="0" w:color="auto"/>
            </w:tcBorders>
            <w:shd w:val="clear" w:color="auto" w:fill="auto"/>
            <w:noWrap/>
            <w:vAlign w:val="center"/>
            <w:hideMark/>
          </w:tcPr>
          <w:p w:rsidR="00091BEA" w:rsidRPr="00091BEA" w:rsidRDefault="00091BEA" w:rsidP="00091BEA">
            <w:pPr>
              <w:spacing w:line="240" w:lineRule="auto"/>
              <w:jc w:val="center"/>
              <w:rPr>
                <w:rFonts w:cs="Calibri"/>
                <w:color w:val="000000"/>
                <w:sz w:val="22"/>
                <w:szCs w:val="22"/>
                <w:lang w:val="en-US" w:bidi="ta-IN"/>
              </w:rPr>
            </w:pPr>
            <w:r w:rsidRPr="00091BEA">
              <w:rPr>
                <w:rFonts w:cs="Calibri"/>
                <w:color w:val="000000"/>
                <w:sz w:val="22"/>
                <w:szCs w:val="22"/>
                <w:lang w:val="en-US" w:bidi="ta-IN"/>
              </w:rPr>
              <w:t>AMI</w:t>
            </w:r>
          </w:p>
        </w:tc>
        <w:tc>
          <w:tcPr>
            <w:tcW w:w="0" w:type="auto"/>
            <w:tcBorders>
              <w:top w:val="nil"/>
              <w:left w:val="nil"/>
              <w:bottom w:val="single" w:sz="8" w:space="0" w:color="auto"/>
              <w:right w:val="single" w:sz="8" w:space="0" w:color="auto"/>
            </w:tcBorders>
            <w:shd w:val="clear" w:color="auto" w:fill="auto"/>
            <w:noWrap/>
            <w:vAlign w:val="center"/>
            <w:hideMark/>
          </w:tcPr>
          <w:p w:rsidR="00091BEA" w:rsidRPr="00091BEA" w:rsidRDefault="00091BEA" w:rsidP="00091BEA">
            <w:pPr>
              <w:spacing w:line="240" w:lineRule="auto"/>
              <w:jc w:val="left"/>
              <w:rPr>
                <w:rFonts w:cs="Calibri"/>
                <w:color w:val="000000"/>
                <w:sz w:val="22"/>
                <w:szCs w:val="22"/>
                <w:lang w:val="en-US" w:bidi="ta-IN"/>
              </w:rPr>
            </w:pPr>
            <w:r w:rsidRPr="00091BEA">
              <w:rPr>
                <w:rFonts w:cs="Calibri"/>
                <w:color w:val="000000"/>
                <w:sz w:val="22"/>
                <w:szCs w:val="22"/>
                <w:lang w:val="en-US" w:bidi="ta-IN"/>
              </w:rPr>
              <w:t>Automated Metering Infrastructure</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5</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AMR</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Automatic Meter Reading</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6</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ARR</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Aggregate Revenue Requirement</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7</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CAGR</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Compound Annual Growth Rate</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8</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val="en-US" w:bidi="ta-IN"/>
              </w:rPr>
              <w:t>CEA</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val="en-US" w:bidi="ta-IN"/>
              </w:rPr>
              <w:t>Central Electricity Authority</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9</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CERC</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Central Electricity Regulatory Commission</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10</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CGS</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Central Generating Station</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val="en-US" w:bidi="ta-IN"/>
              </w:rPr>
              <w:t>11</w:t>
            </w:r>
          </w:p>
        </w:tc>
        <w:tc>
          <w:tcPr>
            <w:tcW w:w="0" w:type="auto"/>
            <w:tcBorders>
              <w:top w:val="nil"/>
              <w:left w:val="nil"/>
              <w:bottom w:val="single" w:sz="8" w:space="0" w:color="auto"/>
              <w:right w:val="single" w:sz="8" w:space="0" w:color="auto"/>
            </w:tcBorders>
            <w:shd w:val="clear" w:color="auto" w:fill="auto"/>
            <w:noWrap/>
            <w:vAlign w:val="center"/>
            <w:hideMark/>
          </w:tcPr>
          <w:p w:rsidR="00091BEA" w:rsidRPr="00091BEA" w:rsidRDefault="00091BEA" w:rsidP="00091BEA">
            <w:pPr>
              <w:spacing w:line="240" w:lineRule="auto"/>
              <w:jc w:val="center"/>
              <w:rPr>
                <w:rFonts w:cs="Calibri"/>
                <w:color w:val="000000"/>
                <w:sz w:val="22"/>
                <w:szCs w:val="22"/>
                <w:lang w:val="en-US" w:bidi="ta-IN"/>
              </w:rPr>
            </w:pPr>
            <w:r w:rsidRPr="00091BEA">
              <w:rPr>
                <w:rFonts w:cs="Calibri"/>
                <w:color w:val="000000"/>
                <w:sz w:val="22"/>
                <w:szCs w:val="22"/>
                <w:lang w:val="en-US" w:bidi="ta-IN"/>
              </w:rPr>
              <w:t>CPI</w:t>
            </w:r>
          </w:p>
        </w:tc>
        <w:tc>
          <w:tcPr>
            <w:tcW w:w="0" w:type="auto"/>
            <w:tcBorders>
              <w:top w:val="nil"/>
              <w:left w:val="nil"/>
              <w:bottom w:val="single" w:sz="8" w:space="0" w:color="auto"/>
              <w:right w:val="single" w:sz="8" w:space="0" w:color="auto"/>
            </w:tcBorders>
            <w:shd w:val="clear" w:color="auto" w:fill="auto"/>
            <w:noWrap/>
            <w:vAlign w:val="center"/>
            <w:hideMark/>
          </w:tcPr>
          <w:p w:rsidR="00091BEA" w:rsidRPr="00091BEA" w:rsidRDefault="00091BEA" w:rsidP="00091BEA">
            <w:pPr>
              <w:spacing w:line="240" w:lineRule="auto"/>
              <w:jc w:val="left"/>
              <w:rPr>
                <w:rFonts w:cs="Calibri"/>
                <w:color w:val="000000"/>
                <w:sz w:val="22"/>
                <w:szCs w:val="22"/>
                <w:lang w:val="en-US" w:bidi="ta-IN"/>
              </w:rPr>
            </w:pPr>
            <w:r w:rsidRPr="00091BEA">
              <w:rPr>
                <w:rFonts w:cs="Calibri"/>
                <w:color w:val="000000"/>
                <w:sz w:val="22"/>
                <w:szCs w:val="22"/>
                <w:lang w:val="en-US" w:bidi="ta-IN"/>
              </w:rPr>
              <w:t>Consumer Price Index</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12</w:t>
            </w:r>
          </w:p>
        </w:tc>
        <w:tc>
          <w:tcPr>
            <w:tcW w:w="0" w:type="auto"/>
            <w:tcBorders>
              <w:top w:val="nil"/>
              <w:left w:val="nil"/>
              <w:bottom w:val="single" w:sz="8" w:space="0" w:color="auto"/>
              <w:right w:val="single" w:sz="8" w:space="0" w:color="auto"/>
            </w:tcBorders>
            <w:shd w:val="clear" w:color="auto" w:fill="auto"/>
            <w:noWrap/>
            <w:vAlign w:val="center"/>
            <w:hideMark/>
          </w:tcPr>
          <w:p w:rsidR="00091BEA" w:rsidRPr="00091BEA" w:rsidRDefault="00091BEA" w:rsidP="00091BEA">
            <w:pPr>
              <w:spacing w:line="240" w:lineRule="auto"/>
              <w:jc w:val="center"/>
              <w:rPr>
                <w:rFonts w:cs="Calibri"/>
                <w:color w:val="000000"/>
                <w:sz w:val="22"/>
                <w:szCs w:val="22"/>
                <w:lang w:val="en-US" w:bidi="ta-IN"/>
              </w:rPr>
            </w:pPr>
            <w:r w:rsidRPr="00091BEA">
              <w:rPr>
                <w:rFonts w:cs="Calibri"/>
                <w:color w:val="000000"/>
                <w:sz w:val="22"/>
                <w:szCs w:val="22"/>
                <w:lang w:val="en-US" w:bidi="ta-IN"/>
              </w:rPr>
              <w:t>DELP</w:t>
            </w:r>
          </w:p>
        </w:tc>
        <w:tc>
          <w:tcPr>
            <w:tcW w:w="0" w:type="auto"/>
            <w:tcBorders>
              <w:top w:val="nil"/>
              <w:left w:val="nil"/>
              <w:bottom w:val="single" w:sz="8" w:space="0" w:color="auto"/>
              <w:right w:val="single" w:sz="8" w:space="0" w:color="auto"/>
            </w:tcBorders>
            <w:shd w:val="clear" w:color="auto" w:fill="auto"/>
            <w:noWrap/>
            <w:vAlign w:val="center"/>
            <w:hideMark/>
          </w:tcPr>
          <w:p w:rsidR="00091BEA" w:rsidRPr="00091BEA" w:rsidRDefault="00091BEA" w:rsidP="00091BEA">
            <w:pPr>
              <w:spacing w:line="240" w:lineRule="auto"/>
              <w:jc w:val="left"/>
              <w:rPr>
                <w:rFonts w:cs="Calibri"/>
                <w:color w:val="000000"/>
                <w:sz w:val="22"/>
                <w:szCs w:val="22"/>
                <w:lang w:val="en-US" w:bidi="ta-IN"/>
              </w:rPr>
            </w:pPr>
            <w:r w:rsidRPr="00091BEA">
              <w:rPr>
                <w:rFonts w:cs="Calibri"/>
                <w:color w:val="000000"/>
                <w:sz w:val="22"/>
                <w:szCs w:val="22"/>
                <w:lang w:val="en-US" w:bidi="ta-IN"/>
              </w:rPr>
              <w:t>DSM based Efficient Lighting Programme</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13</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Discom</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Distribution Companies</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14</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DSM</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Demand Side Management</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15</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EA/The Act</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The Electricity Act 2003</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16</w:t>
            </w:r>
          </w:p>
        </w:tc>
        <w:tc>
          <w:tcPr>
            <w:tcW w:w="0" w:type="auto"/>
            <w:tcBorders>
              <w:top w:val="nil"/>
              <w:left w:val="nil"/>
              <w:bottom w:val="single" w:sz="8" w:space="0" w:color="auto"/>
              <w:right w:val="single" w:sz="8" w:space="0" w:color="auto"/>
            </w:tcBorders>
            <w:shd w:val="clear" w:color="auto" w:fill="auto"/>
            <w:noWrap/>
            <w:vAlign w:val="center"/>
            <w:hideMark/>
          </w:tcPr>
          <w:p w:rsidR="00091BEA" w:rsidRPr="00091BEA" w:rsidRDefault="006528AF" w:rsidP="00091BEA">
            <w:pPr>
              <w:spacing w:line="240" w:lineRule="auto"/>
              <w:jc w:val="center"/>
              <w:rPr>
                <w:rFonts w:cs="Calibri"/>
                <w:color w:val="000000"/>
                <w:sz w:val="22"/>
                <w:szCs w:val="22"/>
                <w:lang w:val="en-US" w:bidi="ta-IN"/>
              </w:rPr>
            </w:pPr>
            <w:r>
              <w:rPr>
                <w:rFonts w:cs="Calibri"/>
                <w:color w:val="000000"/>
                <w:sz w:val="22"/>
                <w:szCs w:val="22"/>
                <w:lang w:val="en-US" w:bidi="ta-IN"/>
              </w:rPr>
              <w:t>PED</w:t>
            </w:r>
            <w:r w:rsidR="00091BEA" w:rsidRPr="00091BEA">
              <w:rPr>
                <w:rFonts w:cs="Calibri"/>
                <w:color w:val="000000"/>
                <w:sz w:val="22"/>
                <w:szCs w:val="22"/>
                <w:lang w:val="en-US" w:bidi="ta-IN"/>
              </w:rPr>
              <w:t>/ PED</w:t>
            </w:r>
          </w:p>
        </w:tc>
        <w:tc>
          <w:tcPr>
            <w:tcW w:w="0" w:type="auto"/>
            <w:tcBorders>
              <w:top w:val="nil"/>
              <w:left w:val="nil"/>
              <w:bottom w:val="single" w:sz="8" w:space="0" w:color="auto"/>
              <w:right w:val="single" w:sz="8" w:space="0" w:color="auto"/>
            </w:tcBorders>
            <w:shd w:val="clear" w:color="auto" w:fill="auto"/>
            <w:noWrap/>
            <w:vAlign w:val="center"/>
            <w:hideMark/>
          </w:tcPr>
          <w:p w:rsidR="00091BEA" w:rsidRPr="00091BEA" w:rsidRDefault="00091BEA" w:rsidP="00091BEA">
            <w:pPr>
              <w:spacing w:line="240" w:lineRule="auto"/>
              <w:jc w:val="left"/>
              <w:rPr>
                <w:rFonts w:cs="Calibri"/>
                <w:color w:val="000000"/>
                <w:sz w:val="22"/>
                <w:szCs w:val="22"/>
                <w:lang w:val="en-US" w:bidi="ta-IN"/>
              </w:rPr>
            </w:pPr>
            <w:r w:rsidRPr="00091BEA">
              <w:rPr>
                <w:rFonts w:cs="Calibri"/>
                <w:color w:val="000000"/>
                <w:sz w:val="22"/>
                <w:szCs w:val="22"/>
                <w:lang w:val="en-US" w:bidi="ta-IN"/>
              </w:rPr>
              <w:t>Electricity Department, Government of Puducherry</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17</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FOR</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Forum of Regulators</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18</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FY</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Financial Year</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19</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GFA</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Gross Fixed Assets</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20</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GoI</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Government of India</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21</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HT</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High Tension</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22</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JERC</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Joint Electricity Regulatory Commission</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23</w:t>
            </w:r>
          </w:p>
        </w:tc>
        <w:tc>
          <w:tcPr>
            <w:tcW w:w="0" w:type="auto"/>
            <w:tcBorders>
              <w:top w:val="nil"/>
              <w:left w:val="nil"/>
              <w:bottom w:val="single" w:sz="8" w:space="0" w:color="auto"/>
              <w:right w:val="single" w:sz="8" w:space="0" w:color="auto"/>
            </w:tcBorders>
            <w:shd w:val="clear" w:color="auto" w:fill="auto"/>
            <w:noWrap/>
            <w:vAlign w:val="center"/>
            <w:hideMark/>
          </w:tcPr>
          <w:p w:rsidR="00091BEA" w:rsidRPr="00091BEA" w:rsidRDefault="00091BEA" w:rsidP="00091BEA">
            <w:pPr>
              <w:spacing w:line="240" w:lineRule="auto"/>
              <w:jc w:val="center"/>
              <w:rPr>
                <w:rFonts w:cs="Calibri"/>
                <w:color w:val="000000"/>
                <w:sz w:val="22"/>
                <w:szCs w:val="22"/>
                <w:lang w:val="en-US" w:bidi="ta-IN"/>
              </w:rPr>
            </w:pPr>
            <w:r w:rsidRPr="00091BEA">
              <w:rPr>
                <w:rFonts w:cs="Calibri"/>
                <w:color w:val="000000"/>
                <w:sz w:val="22"/>
                <w:szCs w:val="22"/>
                <w:lang w:val="en-US" w:bidi="ta-IN"/>
              </w:rPr>
              <w:t>JICA</w:t>
            </w:r>
          </w:p>
        </w:tc>
        <w:tc>
          <w:tcPr>
            <w:tcW w:w="0" w:type="auto"/>
            <w:tcBorders>
              <w:top w:val="nil"/>
              <w:left w:val="nil"/>
              <w:bottom w:val="single" w:sz="8" w:space="0" w:color="auto"/>
              <w:right w:val="single" w:sz="8" w:space="0" w:color="auto"/>
            </w:tcBorders>
            <w:shd w:val="clear" w:color="auto" w:fill="auto"/>
            <w:noWrap/>
            <w:vAlign w:val="center"/>
            <w:hideMark/>
          </w:tcPr>
          <w:p w:rsidR="00091BEA" w:rsidRPr="00091BEA" w:rsidRDefault="00091BEA" w:rsidP="00091BEA">
            <w:pPr>
              <w:spacing w:line="240" w:lineRule="auto"/>
              <w:jc w:val="left"/>
              <w:rPr>
                <w:rFonts w:cs="Calibri"/>
                <w:color w:val="000000"/>
                <w:sz w:val="22"/>
                <w:szCs w:val="22"/>
                <w:lang w:val="en-US" w:bidi="ta-IN"/>
              </w:rPr>
            </w:pPr>
            <w:r w:rsidRPr="00091BEA">
              <w:rPr>
                <w:rFonts w:cs="Calibri"/>
                <w:color w:val="000000"/>
                <w:sz w:val="22"/>
                <w:szCs w:val="22"/>
                <w:lang w:val="en-US" w:bidi="ta-IN"/>
              </w:rPr>
              <w:t>Japan International Cooperation Agency</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val="en-US" w:bidi="ta-IN"/>
              </w:rPr>
              <w:t>24</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KSEB</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Kerala State Electricity Board</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25</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KV</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Kilo Volt</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26</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kVA</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Kilo Volt Ampere</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27</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kVAh</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Kilo Volt Ampere Hour</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28</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kW</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Kilo Watt</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29</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kWh</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Kilo Watt Hour</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30</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LT</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Low Tension</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31</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MOD</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Merit Order Despatch</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32</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MoP</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Ministry of Power</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33</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MOU</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Memorandum of Understanding</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34</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MU</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Million Units (Million kWh)</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35</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MVA</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Mega Volt Ampere</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36</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MW</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Mega Watt</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lastRenderedPageBreak/>
              <w:t>37</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MYT</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Multi Year Tariff</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38</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NTP</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National Tariff Policy</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39</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NTPC</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National Thermal Power Corporation</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40</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O&amp;M</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Operation &amp; Maintenance</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val="en-US" w:bidi="ta-IN"/>
              </w:rPr>
              <w:t>41</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PFC</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Power Finance Corporation</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val="en-US" w:bidi="ta-IN"/>
              </w:rPr>
              <w:t>42</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PGCIL</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Power Grid Corporation of India Limited</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43</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PLCC</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Power Line Carrier Communication</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44</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PLR</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Prime Lending Rate</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val="en-US" w:bidi="ta-IN"/>
              </w:rPr>
              <w:t>45</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POSOCO</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Power System Operation Control</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46</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PPA</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Power Purchase Agreement</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47</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val="en-US" w:bidi="ta-IN"/>
              </w:rPr>
              <w:t>PPCL</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val="en-US" w:bidi="ta-IN"/>
              </w:rPr>
              <w:t>Puducherry Power Corporation Limited</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48</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R&amp;M</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Repair and Maintenance</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49</w:t>
            </w:r>
          </w:p>
        </w:tc>
        <w:tc>
          <w:tcPr>
            <w:tcW w:w="0" w:type="auto"/>
            <w:tcBorders>
              <w:top w:val="nil"/>
              <w:left w:val="nil"/>
              <w:bottom w:val="single" w:sz="8" w:space="0" w:color="auto"/>
              <w:right w:val="single" w:sz="8" w:space="0" w:color="auto"/>
            </w:tcBorders>
            <w:shd w:val="clear" w:color="auto" w:fill="auto"/>
            <w:noWrap/>
            <w:vAlign w:val="center"/>
            <w:hideMark/>
          </w:tcPr>
          <w:p w:rsidR="00091BEA" w:rsidRPr="00091BEA" w:rsidRDefault="00091BEA" w:rsidP="00091BEA">
            <w:pPr>
              <w:spacing w:line="240" w:lineRule="auto"/>
              <w:jc w:val="center"/>
              <w:rPr>
                <w:rFonts w:cs="Calibri"/>
                <w:color w:val="000000"/>
                <w:sz w:val="22"/>
                <w:szCs w:val="22"/>
                <w:lang w:val="en-US" w:bidi="ta-IN"/>
              </w:rPr>
            </w:pPr>
            <w:r w:rsidRPr="00091BEA">
              <w:rPr>
                <w:rFonts w:cs="Calibri"/>
                <w:color w:val="000000"/>
                <w:sz w:val="22"/>
                <w:szCs w:val="22"/>
                <w:lang w:val="en-US" w:bidi="ta-IN"/>
              </w:rPr>
              <w:t>R-APDRP</w:t>
            </w:r>
          </w:p>
        </w:tc>
        <w:tc>
          <w:tcPr>
            <w:tcW w:w="0" w:type="auto"/>
            <w:tcBorders>
              <w:top w:val="nil"/>
              <w:left w:val="nil"/>
              <w:bottom w:val="single" w:sz="8" w:space="0" w:color="auto"/>
              <w:right w:val="single" w:sz="8" w:space="0" w:color="auto"/>
            </w:tcBorders>
            <w:shd w:val="clear" w:color="auto" w:fill="auto"/>
            <w:noWrap/>
            <w:vAlign w:val="center"/>
            <w:hideMark/>
          </w:tcPr>
          <w:p w:rsidR="00091BEA" w:rsidRPr="00091BEA" w:rsidRDefault="00091BEA" w:rsidP="00091BEA">
            <w:pPr>
              <w:spacing w:line="240" w:lineRule="auto"/>
              <w:jc w:val="left"/>
              <w:rPr>
                <w:rFonts w:cs="Calibri"/>
                <w:color w:val="000000"/>
                <w:sz w:val="22"/>
                <w:szCs w:val="22"/>
                <w:lang w:val="en-US" w:bidi="ta-IN"/>
              </w:rPr>
            </w:pPr>
            <w:r w:rsidRPr="00091BEA">
              <w:rPr>
                <w:rFonts w:cs="Calibri"/>
                <w:color w:val="000000"/>
                <w:sz w:val="22"/>
                <w:szCs w:val="22"/>
                <w:lang w:val="en-US" w:bidi="ta-IN"/>
              </w:rPr>
              <w:t>Restructured Accelerated Power Development and Reforms Programme</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50</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REC</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Renewable Energy Certificate</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51</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ROE</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Return on Equity</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52</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RPO</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Renewable Purchase Obligation</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53</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Rs</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Rupees</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54</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SBI</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State Bank of India</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55</w:t>
            </w:r>
          </w:p>
        </w:tc>
        <w:tc>
          <w:tcPr>
            <w:tcW w:w="0" w:type="auto"/>
            <w:tcBorders>
              <w:top w:val="nil"/>
              <w:left w:val="nil"/>
              <w:bottom w:val="single" w:sz="8" w:space="0" w:color="auto"/>
              <w:right w:val="single" w:sz="8" w:space="0" w:color="auto"/>
            </w:tcBorders>
            <w:shd w:val="clear" w:color="auto" w:fill="auto"/>
            <w:noWrap/>
            <w:vAlign w:val="center"/>
            <w:hideMark/>
          </w:tcPr>
          <w:p w:rsidR="00091BEA" w:rsidRPr="00091BEA" w:rsidRDefault="00091BEA" w:rsidP="00091BEA">
            <w:pPr>
              <w:spacing w:line="240" w:lineRule="auto"/>
              <w:jc w:val="center"/>
              <w:rPr>
                <w:rFonts w:cs="Calibri"/>
                <w:color w:val="000000"/>
                <w:sz w:val="22"/>
                <w:szCs w:val="22"/>
                <w:lang w:val="en-US" w:bidi="ta-IN"/>
              </w:rPr>
            </w:pPr>
            <w:r w:rsidRPr="00091BEA">
              <w:rPr>
                <w:rFonts w:cs="Calibri"/>
                <w:color w:val="000000"/>
                <w:sz w:val="22"/>
                <w:szCs w:val="22"/>
                <w:lang w:val="en-US" w:bidi="ta-IN"/>
              </w:rPr>
              <w:t>SECI</w:t>
            </w:r>
          </w:p>
        </w:tc>
        <w:tc>
          <w:tcPr>
            <w:tcW w:w="0" w:type="auto"/>
            <w:tcBorders>
              <w:top w:val="nil"/>
              <w:left w:val="nil"/>
              <w:bottom w:val="single" w:sz="8" w:space="0" w:color="auto"/>
              <w:right w:val="single" w:sz="8" w:space="0" w:color="auto"/>
            </w:tcBorders>
            <w:shd w:val="clear" w:color="auto" w:fill="auto"/>
            <w:noWrap/>
            <w:vAlign w:val="center"/>
            <w:hideMark/>
          </w:tcPr>
          <w:p w:rsidR="00091BEA" w:rsidRPr="00091BEA" w:rsidRDefault="00091BEA" w:rsidP="00091BEA">
            <w:pPr>
              <w:spacing w:line="240" w:lineRule="auto"/>
              <w:jc w:val="left"/>
              <w:rPr>
                <w:rFonts w:cs="Calibri"/>
                <w:color w:val="000000"/>
                <w:sz w:val="22"/>
                <w:szCs w:val="22"/>
                <w:lang w:val="en-US" w:bidi="ta-IN"/>
              </w:rPr>
            </w:pPr>
            <w:r w:rsidRPr="00091BEA">
              <w:rPr>
                <w:rFonts w:cs="Calibri"/>
                <w:color w:val="000000"/>
                <w:sz w:val="22"/>
                <w:szCs w:val="22"/>
                <w:lang w:val="en-US" w:bidi="ta-IN"/>
              </w:rPr>
              <w:t>Solar Energy Corporation of India</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val="en-US" w:bidi="ta-IN"/>
              </w:rPr>
              <w:t>56</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SLDC</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State Load Dispatch Centre</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val="en-US" w:bidi="ta-IN"/>
              </w:rPr>
              <w:t>57</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SRPC</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Southern Regional Power Committee</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val="en-US" w:bidi="ta-IN"/>
              </w:rPr>
              <w:t>58</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SWOT</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Strength, Weakness, Opportunity and Threats</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val="en-US" w:bidi="ta-IN"/>
              </w:rPr>
              <w:t>59</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TNEB</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Tamil Nadu Electricity Board</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val="en-US" w:bidi="ta-IN"/>
              </w:rPr>
              <w:t>60</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T&amp;D</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Transmission and Distribution</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val="en-US" w:bidi="ta-IN"/>
              </w:rPr>
              <w:t>61</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UI Charges</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Unscheduled Interchange Charges</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val="en-US" w:bidi="ta-IN"/>
              </w:rPr>
              <w:t>62</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w.e.f</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With effect from</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val="en-US" w:bidi="ta-IN"/>
              </w:rPr>
              <w:t>63</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WPI</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Wholesale Price Index</w:t>
            </w:r>
          </w:p>
        </w:tc>
      </w:tr>
      <w:tr w:rsidR="00091BEA" w:rsidRPr="00091BEA" w:rsidTr="00091BE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val="en-US" w:bidi="ta-IN"/>
              </w:rPr>
              <w:t>64</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center"/>
              <w:rPr>
                <w:rFonts w:cs="Calibri"/>
                <w:color w:val="000000"/>
                <w:lang w:val="en-US" w:bidi="ta-IN"/>
              </w:rPr>
            </w:pPr>
            <w:r w:rsidRPr="00091BEA">
              <w:rPr>
                <w:rFonts w:cs="Calibri"/>
                <w:color w:val="000000"/>
                <w:lang w:bidi="ta-IN"/>
              </w:rPr>
              <w:t>y-o-y</w:t>
            </w:r>
          </w:p>
        </w:tc>
        <w:tc>
          <w:tcPr>
            <w:tcW w:w="0" w:type="auto"/>
            <w:tcBorders>
              <w:top w:val="nil"/>
              <w:left w:val="nil"/>
              <w:bottom w:val="single" w:sz="8" w:space="0" w:color="auto"/>
              <w:right w:val="single" w:sz="8" w:space="0" w:color="auto"/>
            </w:tcBorders>
            <w:shd w:val="clear" w:color="auto" w:fill="auto"/>
            <w:vAlign w:val="center"/>
            <w:hideMark/>
          </w:tcPr>
          <w:p w:rsidR="00091BEA" w:rsidRPr="00091BEA" w:rsidRDefault="00091BEA" w:rsidP="00091BEA">
            <w:pPr>
              <w:spacing w:line="240" w:lineRule="auto"/>
              <w:jc w:val="left"/>
              <w:rPr>
                <w:rFonts w:cs="Calibri"/>
                <w:color w:val="000000"/>
                <w:lang w:val="en-US" w:bidi="ta-IN"/>
              </w:rPr>
            </w:pPr>
            <w:r w:rsidRPr="00091BEA">
              <w:rPr>
                <w:rFonts w:cs="Calibri"/>
                <w:color w:val="000000"/>
                <w:lang w:bidi="ta-IN"/>
              </w:rPr>
              <w:t>Year on year</w:t>
            </w:r>
          </w:p>
        </w:tc>
      </w:tr>
    </w:tbl>
    <w:p w:rsidR="00752F97" w:rsidRDefault="00752F97" w:rsidP="00C77A08">
      <w:pPr>
        <w:spacing w:line="360" w:lineRule="auto"/>
        <w:ind w:left="1440" w:hanging="1440"/>
        <w:rPr>
          <w:bCs/>
          <w:iCs/>
          <w:sz w:val="22"/>
        </w:rPr>
        <w:sectPr w:rsidR="00752F97" w:rsidSect="00C412F5">
          <w:headerReference w:type="default" r:id="rId10"/>
          <w:footerReference w:type="default" r:id="rId11"/>
          <w:pgSz w:w="11909" w:h="16834" w:code="9"/>
          <w:pgMar w:top="1620" w:right="1440" w:bottom="1440" w:left="1440" w:header="288" w:footer="765" w:gutter="0"/>
          <w:pgNumType w:fmt="lowerRoman"/>
          <w:cols w:space="720"/>
          <w:docGrid w:linePitch="360"/>
        </w:sectPr>
      </w:pPr>
    </w:p>
    <w:p w:rsidR="000A68D6" w:rsidRPr="00256F62" w:rsidRDefault="00A32DDC" w:rsidP="004F4F4E">
      <w:pPr>
        <w:pStyle w:val="ED-H1"/>
      </w:pPr>
      <w:bookmarkStart w:id="1" w:name="_Toc377806468"/>
      <w:bookmarkStart w:id="2" w:name="_Toc523724463"/>
      <w:r w:rsidRPr="00256F62">
        <w:lastRenderedPageBreak/>
        <w:t>I</w:t>
      </w:r>
      <w:r w:rsidR="00973CC8" w:rsidRPr="00256F62">
        <w:t>ntroduction</w:t>
      </w:r>
      <w:bookmarkEnd w:id="1"/>
      <w:bookmarkEnd w:id="2"/>
    </w:p>
    <w:p w:rsidR="00BF0342" w:rsidRDefault="00BF0342" w:rsidP="00860A39">
      <w:pPr>
        <w:pStyle w:val="EDNormal"/>
        <w:rPr>
          <w:b/>
        </w:rPr>
      </w:pPr>
      <w:bookmarkStart w:id="3" w:name="_Toc377075695"/>
      <w:bookmarkStart w:id="4" w:name="_Toc377078295"/>
      <w:bookmarkStart w:id="5" w:name="_Toc377081409"/>
      <w:bookmarkStart w:id="6" w:name="_Toc377081654"/>
      <w:bookmarkStart w:id="7" w:name="_Toc377081743"/>
      <w:bookmarkStart w:id="8" w:name="_Toc377075696"/>
      <w:bookmarkStart w:id="9" w:name="_Toc377078296"/>
      <w:bookmarkStart w:id="10" w:name="_Toc377081410"/>
      <w:bookmarkStart w:id="11" w:name="_Toc377081655"/>
      <w:bookmarkStart w:id="12" w:name="_Toc377081744"/>
      <w:bookmarkStart w:id="13" w:name="_Toc377075697"/>
      <w:bookmarkStart w:id="14" w:name="_Toc377078297"/>
      <w:bookmarkStart w:id="15" w:name="_Toc377081411"/>
      <w:bookmarkStart w:id="16" w:name="_Toc377081656"/>
      <w:bookmarkStart w:id="17" w:name="_Toc377081745"/>
      <w:bookmarkStart w:id="18" w:name="_Toc331522221"/>
      <w:bookmarkStart w:id="19" w:name="_Toc377806469"/>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rsidR="00C959A8" w:rsidRDefault="00C959A8" w:rsidP="001D660C">
      <w:pPr>
        <w:pStyle w:val="ED-H2"/>
      </w:pPr>
      <w:bookmarkStart w:id="20" w:name="_Toc523560486"/>
      <w:bookmarkStart w:id="21" w:name="_Toc523724464"/>
      <w:bookmarkStart w:id="22" w:name="_Toc377806470"/>
      <w:bookmarkEnd w:id="18"/>
      <w:bookmarkEnd w:id="19"/>
      <w:r>
        <w:t>Background</w:t>
      </w:r>
      <w:bookmarkEnd w:id="20"/>
      <w:bookmarkEnd w:id="21"/>
    </w:p>
    <w:p w:rsidR="00C959A8" w:rsidRDefault="00C959A8" w:rsidP="001D660C">
      <w:pPr>
        <w:pStyle w:val="ED-H3"/>
      </w:pPr>
      <w:r w:rsidRPr="009A05AD">
        <w:t>The Union Territory of Puducherry is spread over an area of 492 sq. km and consists of four enclaves which are widely scattered in the three Southern States viz Puducherry and Karaikal enclaves in Tamil Nadu, Mahe enclave in Ke</w:t>
      </w:r>
      <w:r>
        <w:t>rala and Yanam enclave in Andhra Prad</w:t>
      </w:r>
      <w:r w:rsidRPr="009A05AD">
        <w:t>esh. Puducherry which is the headquarters of the Union Territory is located 160 Kms down South of Chennai</w:t>
      </w:r>
      <w:r>
        <w:t>,</w:t>
      </w:r>
      <w:r w:rsidRPr="009A05AD">
        <w:t xml:space="preserve"> while Karaikal is located further down South at about 160 Kms from Puducherry. Mahe is located horizontally opposite to Puducherry on the Western coast at about 647 Kms from Puducherry and 58 Kms from Kozhikode, 24 Kms from Kannur in Kerala State. Yanam is located up North of Puducherry on the eastern coast at about 870 Kms from Puducherry and 24 Kms from Kakinada. The total population of the UT of Puducherry is 12,44,464 as per provisional results of Census 2011.</w:t>
      </w:r>
    </w:p>
    <w:p w:rsidR="00C959A8" w:rsidRDefault="00C959A8" w:rsidP="00061AA6">
      <w:pPr>
        <w:pStyle w:val="Caption"/>
        <w:rPr>
          <w:rFonts w:eastAsia="Calibri"/>
          <w:color w:val="000000"/>
          <w:szCs w:val="18"/>
        </w:rPr>
      </w:pPr>
      <w:bookmarkStart w:id="23" w:name="_Toc426377572"/>
      <w:bookmarkStart w:id="24" w:name="_Toc523725616"/>
      <w:r>
        <w:t xml:space="preserve">Figure </w:t>
      </w:r>
      <w:r w:rsidR="00140E1B">
        <w:fldChar w:fldCharType="begin"/>
      </w:r>
      <w:r>
        <w:instrText xml:space="preserve"> SEQ Figure \* ARABIC </w:instrText>
      </w:r>
      <w:r w:rsidR="00140E1B">
        <w:fldChar w:fldCharType="separate"/>
      </w:r>
      <w:r w:rsidR="004B7EE5">
        <w:rPr>
          <w:noProof/>
        </w:rPr>
        <w:t>1</w:t>
      </w:r>
      <w:r w:rsidR="00140E1B">
        <w:rPr>
          <w:noProof/>
        </w:rPr>
        <w:fldChar w:fldCharType="end"/>
      </w:r>
      <w:r w:rsidRPr="009A05AD">
        <w:rPr>
          <w:rFonts w:eastAsia="Calibri"/>
          <w:color w:val="000000"/>
          <w:szCs w:val="18"/>
        </w:rPr>
        <w:t>: Union Territory of Puducherry</w:t>
      </w:r>
      <w:bookmarkEnd w:id="23"/>
      <w:bookmarkEnd w:id="24"/>
    </w:p>
    <w:p w:rsidR="00C959A8" w:rsidRDefault="00C959A8" w:rsidP="001D660C">
      <w:pPr>
        <w:jc w:val="center"/>
        <w:rPr>
          <w:rFonts w:eastAsia="Calibri"/>
        </w:rPr>
      </w:pPr>
      <w:r w:rsidRPr="009A05AD">
        <w:rPr>
          <w:rFonts w:eastAsia="Calibri"/>
          <w:noProof/>
          <w:lang w:val="en-US"/>
        </w:rPr>
        <w:drawing>
          <wp:inline distT="0" distB="0" distL="0" distR="0">
            <wp:extent cx="3412919" cy="3241964"/>
            <wp:effectExtent l="19050" t="0" r="0" b="0"/>
            <wp:docPr id="25" name="Picture 161" descr="http://electricity.puducherry.gov.in/img/sin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electricity.puducherry.gov.in/img/sindia.jpg"/>
                    <pic:cNvPicPr>
                      <a:picLocks noChangeAspect="1" noChangeArrowheads="1"/>
                    </pic:cNvPicPr>
                  </pic:nvPicPr>
                  <pic:blipFill>
                    <a:blip r:embed="rId12" cstate="print"/>
                    <a:srcRect/>
                    <a:stretch>
                      <a:fillRect/>
                    </a:stretch>
                  </pic:blipFill>
                  <pic:spPr bwMode="auto">
                    <a:xfrm>
                      <a:off x="0" y="0"/>
                      <a:ext cx="3415267" cy="3242930"/>
                    </a:xfrm>
                    <a:prstGeom prst="rect">
                      <a:avLst/>
                    </a:prstGeom>
                    <a:noFill/>
                    <a:ln w="9525">
                      <a:noFill/>
                      <a:miter lim="800000"/>
                      <a:headEnd/>
                      <a:tailEnd/>
                    </a:ln>
                  </pic:spPr>
                </pic:pic>
              </a:graphicData>
            </a:graphic>
          </wp:inline>
        </w:drawing>
      </w:r>
    </w:p>
    <w:p w:rsidR="00C959A8" w:rsidRPr="00860A39" w:rsidRDefault="00C959A8" w:rsidP="001D660C">
      <w:pPr>
        <w:ind w:left="1440"/>
        <w:rPr>
          <w:b/>
          <w:i/>
          <w:sz w:val="22"/>
          <w:szCs w:val="22"/>
        </w:rPr>
      </w:pPr>
      <w:r w:rsidRPr="00860A39">
        <w:rPr>
          <w:bCs/>
          <w:i/>
          <w:sz w:val="22"/>
          <w:szCs w:val="22"/>
        </w:rPr>
        <w:t>Source: Puducherry Electricity Department</w:t>
      </w:r>
    </w:p>
    <w:p w:rsidR="00C959A8" w:rsidRPr="00421931" w:rsidRDefault="00C959A8" w:rsidP="001D660C">
      <w:pPr>
        <w:ind w:left="1440"/>
        <w:rPr>
          <w:b/>
          <w:i/>
        </w:rPr>
      </w:pPr>
    </w:p>
    <w:p w:rsidR="00C959A8" w:rsidRDefault="00C959A8" w:rsidP="001D660C">
      <w:pPr>
        <w:pStyle w:val="ED-H3"/>
      </w:pPr>
      <w:r w:rsidRPr="00EF0CD4">
        <w:t xml:space="preserve">The requirement of Power for the Union Territory is met from the allocation of power from various Central Generating Stations (CGS), purchase of power from neighbouring State Utilities and from the State owned Pondicherry Power Corporation which is running a 32.5 MW Gas based power plant in Karaikal region. The entire power generated from this plant is consumed </w:t>
      </w:r>
      <w:r>
        <w:t>with</w:t>
      </w:r>
      <w:r w:rsidRPr="00EF0CD4">
        <w:t>in Karaikal region.</w:t>
      </w:r>
    </w:p>
    <w:p w:rsidR="00C959A8" w:rsidRDefault="00C959A8" w:rsidP="00061AA6">
      <w:pPr>
        <w:pStyle w:val="Caption"/>
        <w:rPr>
          <w:rFonts w:eastAsia="Calibri"/>
        </w:rPr>
      </w:pPr>
      <w:bookmarkStart w:id="25" w:name="_Toc426377573"/>
      <w:bookmarkStart w:id="26" w:name="_Toc523725617"/>
      <w:r w:rsidRPr="00C959A8">
        <w:lastRenderedPageBreak/>
        <w:t xml:space="preserve">Figure </w:t>
      </w:r>
      <w:r w:rsidR="00140E1B" w:rsidRPr="00C959A8">
        <w:fldChar w:fldCharType="begin"/>
      </w:r>
      <w:r w:rsidRPr="00C959A8">
        <w:instrText xml:space="preserve"> SEQ Figure \* ARABIC </w:instrText>
      </w:r>
      <w:r w:rsidR="00140E1B" w:rsidRPr="00C959A8">
        <w:fldChar w:fldCharType="separate"/>
      </w:r>
      <w:r w:rsidR="004B7EE5">
        <w:rPr>
          <w:noProof/>
        </w:rPr>
        <w:t>2</w:t>
      </w:r>
      <w:r w:rsidR="00140E1B" w:rsidRPr="00C959A8">
        <w:rPr>
          <w:noProof/>
        </w:rPr>
        <w:fldChar w:fldCharType="end"/>
      </w:r>
      <w:r w:rsidRPr="00C959A8">
        <w:rPr>
          <w:rFonts w:eastAsia="Calibri"/>
        </w:rPr>
        <w:t>: Power Supply Position in Puducherry (MW)</w:t>
      </w:r>
      <w:bookmarkEnd w:id="25"/>
      <w:bookmarkEnd w:id="26"/>
    </w:p>
    <w:p w:rsidR="00C959A8" w:rsidRDefault="003B4BF2" w:rsidP="001D660C">
      <w:pPr>
        <w:pStyle w:val="EDNormal"/>
        <w:jc w:val="center"/>
      </w:pPr>
      <w:r>
        <w:rPr>
          <w:noProof/>
          <w:lang w:val="en-US"/>
        </w:rPr>
        <w:drawing>
          <wp:inline distT="0" distB="0" distL="0" distR="0">
            <wp:extent cx="4572000" cy="1981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959A8" w:rsidRDefault="00C959A8" w:rsidP="001D660C">
      <w:pPr>
        <w:pStyle w:val="EDNormal"/>
        <w:ind w:left="720"/>
        <w:rPr>
          <w:i/>
          <w:iCs/>
        </w:rPr>
      </w:pPr>
      <w:bookmarkStart w:id="27" w:name="_Toc398579396"/>
      <w:r w:rsidRPr="00105F99">
        <w:rPr>
          <w:i/>
          <w:iCs/>
          <w:sz w:val="20"/>
        </w:rPr>
        <w:t>* TNEB</w:t>
      </w:r>
      <w:bookmarkStart w:id="28" w:name="_Toc398579397"/>
      <w:bookmarkEnd w:id="27"/>
      <w:r w:rsidRPr="00105F99">
        <w:rPr>
          <w:i/>
          <w:iCs/>
          <w:sz w:val="20"/>
        </w:rPr>
        <w:t xml:space="preserve">                                   Source: Puducherry Electricity Department</w:t>
      </w:r>
      <w:bookmarkEnd w:id="28"/>
    </w:p>
    <w:p w:rsidR="00C959A8" w:rsidRPr="00940D4C" w:rsidRDefault="00C959A8" w:rsidP="001D660C">
      <w:pPr>
        <w:pStyle w:val="EDNormal"/>
        <w:rPr>
          <w:b/>
          <w:i/>
          <w:iCs/>
        </w:rPr>
      </w:pPr>
    </w:p>
    <w:p w:rsidR="00C959A8" w:rsidRDefault="00C959A8" w:rsidP="001D660C">
      <w:pPr>
        <w:pStyle w:val="ED-H3"/>
      </w:pPr>
      <w:r>
        <w:t>The Electricity Department,</w:t>
      </w:r>
      <w:r w:rsidRPr="000F65DB">
        <w:t xml:space="preserve"> Government of Puducherry</w:t>
      </w:r>
      <w:r>
        <w:t xml:space="preserve"> (hereinafter referred to as “</w:t>
      </w:r>
      <w:r w:rsidRPr="000F65DB">
        <w:t>P</w:t>
      </w:r>
      <w:r>
        <w:t>ED</w:t>
      </w:r>
      <w:r w:rsidRPr="000F65DB">
        <w:t>”), performs the functions of transmission and distribution of electric power to the Union Territory. The Puducherry Electricity Department is a deemed licensee under Section 14 of Electricity Act, 2003 and is carrying on the business of Transmission, Distribution and Retail supply of Electricity in Puducherry, Karaikal, Yanam and Mahe Regions of the Union Territory of Puducherry. With all the Towns and villages electrified in as early as 1972, the Union Territory is 100% fully electrified. </w:t>
      </w:r>
    </w:p>
    <w:p w:rsidR="00C959A8" w:rsidRPr="000F65DB" w:rsidRDefault="00C959A8" w:rsidP="001D660C">
      <w:pPr>
        <w:pStyle w:val="EDNormal"/>
        <w:rPr>
          <w:rFonts w:asciiTheme="minorHAnsi" w:hAnsiTheme="minorHAnsi" w:cstheme="minorHAnsi"/>
          <w:szCs w:val="24"/>
        </w:rPr>
      </w:pPr>
    </w:p>
    <w:p w:rsidR="00C959A8" w:rsidRDefault="00C959A8" w:rsidP="001D660C">
      <w:pPr>
        <w:pStyle w:val="ED-H2"/>
      </w:pPr>
      <w:bookmarkStart w:id="29" w:name="_Toc523560487"/>
      <w:bookmarkStart w:id="30" w:name="_Toc523724465"/>
      <w:r w:rsidRPr="000F65DB">
        <w:t>Business Activities</w:t>
      </w:r>
      <w:bookmarkEnd w:id="29"/>
      <w:bookmarkEnd w:id="30"/>
    </w:p>
    <w:p w:rsidR="00C959A8" w:rsidRDefault="00C959A8" w:rsidP="001D660C">
      <w:pPr>
        <w:pStyle w:val="ED-H3"/>
      </w:pPr>
      <w:r w:rsidRPr="000F65DB">
        <w:t>The Electricity Department</w:t>
      </w:r>
      <w:r>
        <w:t xml:space="preserve"> Puducherry</w:t>
      </w:r>
      <w:r w:rsidRPr="000F65DB">
        <w:t xml:space="preserve"> is a deemed Distribution Licensee within the meaning of Section 2 (17) of Electricity Act 2003 and pursuant to the Section 14 of the Electricity Act. Further, Section 42 and 43 of the Electricity Act 2003 prescribes the following duties of the deemed Distribution Licensee: </w:t>
      </w:r>
    </w:p>
    <w:p w:rsidR="00C959A8" w:rsidRPr="000F65DB" w:rsidRDefault="00C959A8" w:rsidP="001D660C">
      <w:pPr>
        <w:pStyle w:val="ListParagraph"/>
        <w:numPr>
          <w:ilvl w:val="0"/>
          <w:numId w:val="6"/>
        </w:numPr>
        <w:rPr>
          <w:rFonts w:asciiTheme="minorHAnsi" w:hAnsiTheme="minorHAnsi" w:cstheme="minorHAnsi"/>
        </w:rPr>
      </w:pPr>
      <w:bookmarkStart w:id="31" w:name="_Toc398579399"/>
      <w:r w:rsidRPr="000F65DB">
        <w:rPr>
          <w:rFonts w:asciiTheme="minorHAnsi" w:hAnsiTheme="minorHAnsi" w:cstheme="minorHAnsi"/>
        </w:rPr>
        <w:t>To develop and maintain an efficient, co-ordinated and economical distribution system;</w:t>
      </w:r>
      <w:bookmarkEnd w:id="31"/>
    </w:p>
    <w:p w:rsidR="00C959A8" w:rsidRPr="000F65DB" w:rsidRDefault="00C959A8" w:rsidP="001D660C">
      <w:pPr>
        <w:pStyle w:val="ListParagraph"/>
        <w:numPr>
          <w:ilvl w:val="0"/>
          <w:numId w:val="6"/>
        </w:numPr>
        <w:rPr>
          <w:rFonts w:asciiTheme="minorHAnsi" w:hAnsiTheme="minorHAnsi" w:cstheme="minorHAnsi"/>
        </w:rPr>
      </w:pPr>
      <w:bookmarkStart w:id="32" w:name="_Toc398579400"/>
      <w:r w:rsidRPr="000F65DB">
        <w:rPr>
          <w:rFonts w:asciiTheme="minorHAnsi" w:hAnsiTheme="minorHAnsi" w:cstheme="minorHAnsi"/>
        </w:rPr>
        <w:t>To supply electricity on an application of the consumer in accordance with the provisions specified in the Electricity Act 2003;</w:t>
      </w:r>
      <w:bookmarkEnd w:id="32"/>
    </w:p>
    <w:p w:rsidR="00C959A8" w:rsidRPr="000F65DB" w:rsidRDefault="00C959A8" w:rsidP="001D660C">
      <w:pPr>
        <w:pStyle w:val="ListParagraph"/>
        <w:numPr>
          <w:ilvl w:val="0"/>
          <w:numId w:val="6"/>
        </w:numPr>
        <w:rPr>
          <w:rFonts w:asciiTheme="minorHAnsi" w:hAnsiTheme="minorHAnsi" w:cstheme="minorHAnsi"/>
        </w:rPr>
      </w:pPr>
      <w:bookmarkStart w:id="33" w:name="_Toc398579401"/>
      <w:r w:rsidRPr="000F65DB">
        <w:rPr>
          <w:rFonts w:asciiTheme="minorHAnsi" w:hAnsiTheme="minorHAnsi" w:cstheme="minorHAnsi"/>
        </w:rPr>
        <w:t>To provide non-discriminatory open access to the consumers;</w:t>
      </w:r>
      <w:bookmarkEnd w:id="33"/>
    </w:p>
    <w:p w:rsidR="00C959A8" w:rsidRPr="000F65DB" w:rsidRDefault="00C959A8" w:rsidP="001D660C">
      <w:pPr>
        <w:pStyle w:val="ListParagraph"/>
        <w:numPr>
          <w:ilvl w:val="0"/>
          <w:numId w:val="6"/>
        </w:numPr>
        <w:rPr>
          <w:rFonts w:asciiTheme="minorHAnsi" w:hAnsiTheme="minorHAnsi" w:cstheme="minorHAnsi"/>
        </w:rPr>
      </w:pPr>
      <w:r w:rsidRPr="000F65DB">
        <w:rPr>
          <w:rFonts w:asciiTheme="minorHAnsi" w:hAnsiTheme="minorHAnsi" w:cstheme="minorHAnsi"/>
        </w:rPr>
        <w:t>To establish a forum for redressal of grievances of the consumers.</w:t>
      </w:r>
    </w:p>
    <w:p w:rsidR="00C959A8" w:rsidRPr="000F65DB" w:rsidRDefault="00C959A8" w:rsidP="001D660C">
      <w:pPr>
        <w:pStyle w:val="EDNormal"/>
        <w:rPr>
          <w:rFonts w:asciiTheme="minorHAnsi" w:hAnsiTheme="minorHAnsi" w:cstheme="minorHAnsi"/>
          <w:szCs w:val="24"/>
        </w:rPr>
      </w:pPr>
    </w:p>
    <w:p w:rsidR="00C959A8" w:rsidRDefault="00C959A8" w:rsidP="001D660C">
      <w:pPr>
        <w:pStyle w:val="ED-H3"/>
      </w:pPr>
      <w:r w:rsidRPr="000F65DB">
        <w:t xml:space="preserve">The </w:t>
      </w:r>
      <w:r>
        <w:t>main functions of the Department</w:t>
      </w:r>
      <w:r w:rsidRPr="000F65DB">
        <w:t xml:space="preserve"> is to undertake the transmission, distribution and retail supply of electricity in its license area and to plan, construct, erect, lay, operate </w:t>
      </w:r>
      <w:r>
        <w:t xml:space="preserve">and </w:t>
      </w:r>
      <w:r w:rsidRPr="000F65DB">
        <w:t xml:space="preserve">maintain, renovate, modernize </w:t>
      </w:r>
      <w:r>
        <w:t xml:space="preserve">the </w:t>
      </w:r>
      <w:r w:rsidRPr="000F65DB">
        <w:t xml:space="preserve">power system network in all its aspects and also to carry on the business of purchasing, selling, importing, exporting, wheeling, trading of electrical energy, including formulation of tariff, billing and collection thereof and then tocollect information and data, review operations, plan, </w:t>
      </w:r>
      <w:r w:rsidRPr="000F65DB">
        <w:lastRenderedPageBreak/>
        <w:t>research, design and prepare project reports, diagnose operational difficulties and weaknesses and advise on the remedial measures to improve and modernize existing sub-transmission and supply lines and sub-stations.</w:t>
      </w:r>
    </w:p>
    <w:p w:rsidR="00C959A8" w:rsidRPr="000F65DB" w:rsidRDefault="00C959A8" w:rsidP="001D660C">
      <w:pPr>
        <w:pStyle w:val="EDNormal"/>
        <w:rPr>
          <w:rFonts w:asciiTheme="minorHAnsi" w:hAnsiTheme="minorHAnsi" w:cstheme="minorHAnsi"/>
          <w:szCs w:val="24"/>
        </w:rPr>
      </w:pPr>
    </w:p>
    <w:p w:rsidR="00C959A8" w:rsidRDefault="00C959A8" w:rsidP="001D660C">
      <w:pPr>
        <w:pStyle w:val="ED-H2"/>
      </w:pPr>
      <w:bookmarkStart w:id="34" w:name="_Toc523560488"/>
      <w:bookmarkStart w:id="35" w:name="_Toc523724466"/>
      <w:r w:rsidRPr="000F65DB">
        <w:t>Objective of Business Plan</w:t>
      </w:r>
      <w:bookmarkEnd w:id="34"/>
      <w:bookmarkEnd w:id="35"/>
    </w:p>
    <w:p w:rsidR="00C959A8" w:rsidRDefault="00C959A8" w:rsidP="001D660C">
      <w:pPr>
        <w:pStyle w:val="ED-H3"/>
        <w:rPr>
          <w:lang w:bidi="ar-SA"/>
        </w:rPr>
      </w:pPr>
      <w:r w:rsidRPr="000F65DB">
        <w:t>A business plan is conventionally defined as:</w:t>
      </w:r>
    </w:p>
    <w:p w:rsidR="00C959A8" w:rsidRDefault="00C959A8" w:rsidP="001D660C">
      <w:pPr>
        <w:widowControl w:val="0"/>
        <w:tabs>
          <w:tab w:val="right" w:pos="9000"/>
        </w:tabs>
        <w:adjustRightInd w:val="0"/>
        <w:spacing w:before="60" w:after="60"/>
        <w:ind w:left="864"/>
        <w:textAlignment w:val="baseline"/>
        <w:rPr>
          <w:rFonts w:asciiTheme="minorHAnsi" w:hAnsiTheme="minorHAnsi" w:cstheme="minorHAnsi"/>
          <w:i/>
        </w:rPr>
      </w:pPr>
      <w:r w:rsidRPr="000F65DB">
        <w:rPr>
          <w:rFonts w:asciiTheme="minorHAnsi" w:hAnsiTheme="minorHAnsi" w:cstheme="minorHAnsi"/>
          <w:i/>
        </w:rPr>
        <w:t>“Business Plan is a formal statement of a set of business goals, the reasons why they are believed attainable, and the plan for reaching those goals. It may also contain background information about the organization or team attempting to reach those goals.”</w:t>
      </w:r>
    </w:p>
    <w:p w:rsidR="00C959A8" w:rsidRDefault="00C959A8" w:rsidP="001D660C">
      <w:pPr>
        <w:pStyle w:val="ED-H3"/>
        <w:rPr>
          <w:i/>
          <w:u w:val="single"/>
        </w:rPr>
      </w:pPr>
      <w:r w:rsidRPr="000F65DB">
        <w:t>Acco</w:t>
      </w:r>
      <w:r>
        <w:t xml:space="preserve">rdingly, the business plan for </w:t>
      </w:r>
      <w:r w:rsidRPr="000F65DB">
        <w:t>P</w:t>
      </w:r>
      <w:r>
        <w:t>ED</w:t>
      </w:r>
      <w:r w:rsidRPr="000F65DB">
        <w:t xml:space="preserve"> is developed keeping in mind the growth plan for the control period after considering the strengths and weaknesses of the department and evaluating its business environment. The business environment has evolved considerably in</w:t>
      </w:r>
      <w:r>
        <w:t xml:space="preserve"> a number of ways that affects </w:t>
      </w:r>
      <w:r w:rsidRPr="000F65DB">
        <w:t>P</w:t>
      </w:r>
      <w:r>
        <w:t>ED</w:t>
      </w:r>
      <w:r w:rsidRPr="000F65DB">
        <w:t>’s strategic planning. The business plan is intended to give a comprehensive and up-to-date representation of the department, its market, the impact of new regulations, and the strategie</w:t>
      </w:r>
      <w:r>
        <w:t>s that has been developed by PED</w:t>
      </w:r>
      <w:r w:rsidRPr="000F65DB">
        <w:t xml:space="preserve"> to achieve the same. </w:t>
      </w:r>
      <w:r w:rsidRPr="000F65DB">
        <w:rPr>
          <w:i/>
          <w:u w:val="single"/>
        </w:rPr>
        <w:t xml:space="preserve">However, as mentioned above, there are number of internal and external factors which affect the planning of the department and thus, it makes this a very dynamic document and which calls for </w:t>
      </w:r>
      <w:r w:rsidRPr="00B834C0">
        <w:rPr>
          <w:i/>
          <w:u w:val="single"/>
        </w:rPr>
        <w:t>regular reviews of the plan with a view to introduce any corrections.</w:t>
      </w:r>
    </w:p>
    <w:p w:rsidR="00C959A8" w:rsidRPr="00B834C0" w:rsidRDefault="00C959A8" w:rsidP="001D660C">
      <w:pPr>
        <w:pStyle w:val="EDNormal"/>
        <w:rPr>
          <w:lang w:val="en-IN" w:bidi="hi-IN"/>
        </w:rPr>
      </w:pPr>
    </w:p>
    <w:p w:rsidR="00C959A8" w:rsidRDefault="00C959A8" w:rsidP="001D660C">
      <w:pPr>
        <w:pStyle w:val="ED-H3"/>
      </w:pPr>
      <w:r w:rsidRPr="00B834C0">
        <w:t>PED submitted its first Business Plan for the period starting from April 2015 to March 2018 (3 year control period) on 01.10.2014 under Regulation 12.1 of the MYT Regulation, 2014. As per provisions in clause 5.1 (as per amendment dated 10th August 2015) and 12.1 of the JERC Multi Year Distribution Tariff Regulations, 2014, the Petitioner has filed for approval of its Business Plan for three years control period i.e. from FY 2016-17 to FY 2018-19 with details for each year of the control period before the Commission. The Commission has approved the Business Plan for three years control period FY 2016-17 to FY 2018-19 vide order dated 4.12.2015.</w:t>
      </w:r>
    </w:p>
    <w:p w:rsidR="00C959A8" w:rsidRPr="00B834C0" w:rsidRDefault="00C959A8" w:rsidP="001D660C">
      <w:pPr>
        <w:pStyle w:val="EDNormal"/>
        <w:rPr>
          <w:lang w:val="en-IN" w:bidi="hi-IN"/>
        </w:rPr>
      </w:pPr>
    </w:p>
    <w:p w:rsidR="00C959A8" w:rsidRPr="00B834C0" w:rsidRDefault="00C959A8" w:rsidP="001D660C">
      <w:pPr>
        <w:pStyle w:val="ED-H3"/>
      </w:pPr>
      <w:r w:rsidRPr="00B834C0">
        <w:t xml:space="preserve">The Commission has come with the new MYT Regulations 2018 and as per Regulation 8 of the new MYT Regulations 2018 for the Control Period FY 2019-20 to FY 2021-22, the Business Plan shall cover as under: </w:t>
      </w:r>
    </w:p>
    <w:p w:rsidR="00C959A8" w:rsidRDefault="00C959A8" w:rsidP="001D660C">
      <w:pPr>
        <w:pStyle w:val="EDNormal"/>
        <w:ind w:left="720"/>
        <w:rPr>
          <w:rFonts w:asciiTheme="minorHAnsi" w:eastAsia="Times New Roman" w:hAnsiTheme="minorHAnsi"/>
          <w:bCs/>
          <w:i/>
          <w:iCs/>
          <w:lang w:val="en-IN" w:bidi="hi-IN"/>
        </w:rPr>
      </w:pPr>
      <w:r>
        <w:rPr>
          <w:rFonts w:asciiTheme="minorHAnsi" w:eastAsia="Times New Roman" w:hAnsiTheme="minorHAnsi"/>
          <w:bCs/>
          <w:i/>
          <w:iCs/>
          <w:lang w:val="en-IN" w:bidi="hi-IN"/>
        </w:rPr>
        <w:t>Quote</w:t>
      </w:r>
    </w:p>
    <w:p w:rsidR="00C959A8" w:rsidRPr="009A6247" w:rsidRDefault="00C959A8" w:rsidP="001D660C">
      <w:pPr>
        <w:pStyle w:val="EDNormal"/>
        <w:ind w:left="720"/>
        <w:rPr>
          <w:rFonts w:asciiTheme="minorHAnsi" w:eastAsia="Times New Roman" w:hAnsiTheme="minorHAnsi"/>
          <w:bCs/>
          <w:i/>
          <w:iCs/>
          <w:lang w:val="en-IN" w:bidi="hi-IN"/>
        </w:rPr>
      </w:pPr>
      <w:r>
        <w:rPr>
          <w:rFonts w:asciiTheme="minorHAnsi" w:eastAsia="Times New Roman" w:hAnsiTheme="minorHAnsi"/>
          <w:bCs/>
          <w:i/>
          <w:iCs/>
          <w:lang w:val="en-IN" w:bidi="hi-IN"/>
        </w:rPr>
        <w:t>“</w:t>
      </w:r>
      <w:r w:rsidRPr="009A6247">
        <w:rPr>
          <w:rFonts w:asciiTheme="minorHAnsi" w:eastAsia="Times New Roman" w:hAnsiTheme="minorHAnsi"/>
          <w:bCs/>
          <w:i/>
          <w:iCs/>
          <w:lang w:val="en-IN" w:bidi="hi-IN"/>
        </w:rPr>
        <w:t>8 Business Plan</w:t>
      </w:r>
    </w:p>
    <w:p w:rsidR="00C959A8" w:rsidRPr="009A6247" w:rsidRDefault="00C959A8" w:rsidP="001D660C">
      <w:pPr>
        <w:pStyle w:val="EDNormal"/>
        <w:ind w:left="720"/>
        <w:rPr>
          <w:rFonts w:asciiTheme="minorHAnsi" w:eastAsia="Times New Roman" w:hAnsiTheme="minorHAnsi"/>
          <w:bCs/>
          <w:i/>
          <w:iCs/>
          <w:lang w:val="en-IN" w:bidi="hi-IN"/>
        </w:rPr>
      </w:pPr>
      <w:r w:rsidRPr="009A6247">
        <w:rPr>
          <w:rFonts w:asciiTheme="minorHAnsi" w:eastAsia="Times New Roman" w:hAnsiTheme="minorHAnsi"/>
          <w:bCs/>
          <w:i/>
          <w:iCs/>
          <w:lang w:val="en-IN" w:bidi="hi-IN"/>
        </w:rPr>
        <w:t>8.1 The Transmission Licensee and Distribution Licensee shall file for the Commission’s approval a Business Plan for the entire Control Period, approved by its a</w:t>
      </w:r>
      <w:r>
        <w:rPr>
          <w:rFonts w:asciiTheme="minorHAnsi" w:eastAsia="Times New Roman" w:hAnsiTheme="minorHAnsi"/>
          <w:bCs/>
          <w:i/>
          <w:iCs/>
          <w:lang w:val="en-IN" w:bidi="hi-IN"/>
        </w:rPr>
        <w:t>uthorized signatory by August 31</w:t>
      </w:r>
      <w:r w:rsidRPr="009A6247">
        <w:rPr>
          <w:rFonts w:asciiTheme="minorHAnsi" w:eastAsia="Times New Roman" w:hAnsiTheme="minorHAnsi"/>
          <w:bCs/>
          <w:i/>
          <w:iCs/>
          <w:lang w:val="en-IN" w:bidi="hi-IN"/>
        </w:rPr>
        <w:t>, 2018:</w:t>
      </w:r>
    </w:p>
    <w:p w:rsidR="00C959A8" w:rsidRPr="009A6247" w:rsidRDefault="00C959A8" w:rsidP="001D660C">
      <w:pPr>
        <w:pStyle w:val="EDNormal"/>
        <w:ind w:left="720"/>
        <w:rPr>
          <w:rFonts w:asciiTheme="minorHAnsi" w:eastAsia="Times New Roman" w:hAnsiTheme="minorHAnsi"/>
          <w:bCs/>
          <w:i/>
          <w:iCs/>
          <w:lang w:val="en-IN" w:bidi="hi-IN"/>
        </w:rPr>
      </w:pPr>
      <w:r w:rsidRPr="009A6247">
        <w:rPr>
          <w:rFonts w:asciiTheme="minorHAnsi" w:eastAsia="Times New Roman" w:hAnsiTheme="minorHAnsi"/>
          <w:bCs/>
          <w:i/>
          <w:iCs/>
          <w:lang w:val="en-IN" w:bidi="hi-IN"/>
        </w:rPr>
        <w:t xml:space="preserve">Provided that the Generation Company shall not be required to file a Business Plan </w:t>
      </w:r>
      <w:r w:rsidRPr="009A6247">
        <w:rPr>
          <w:rFonts w:asciiTheme="minorHAnsi" w:eastAsia="Times New Roman" w:hAnsiTheme="minorHAnsi"/>
          <w:bCs/>
          <w:i/>
          <w:iCs/>
          <w:lang w:val="en-IN" w:bidi="hi-IN"/>
        </w:rPr>
        <w:lastRenderedPageBreak/>
        <w:t>for the Control Period.</w:t>
      </w:r>
    </w:p>
    <w:p w:rsidR="00C959A8" w:rsidRDefault="00C959A8" w:rsidP="001D660C">
      <w:pPr>
        <w:pStyle w:val="EDNormal"/>
        <w:ind w:left="720"/>
        <w:rPr>
          <w:rFonts w:asciiTheme="minorHAnsi" w:eastAsia="Times New Roman" w:hAnsiTheme="minorHAnsi"/>
          <w:bCs/>
          <w:i/>
          <w:iCs/>
          <w:lang w:val="en-IN" w:bidi="hi-IN"/>
        </w:rPr>
      </w:pPr>
      <w:r w:rsidRPr="009A6247">
        <w:rPr>
          <w:rFonts w:asciiTheme="minorHAnsi" w:eastAsia="Times New Roman" w:hAnsiTheme="minorHAnsi"/>
          <w:bCs/>
          <w:i/>
          <w:iCs/>
          <w:lang w:val="en-IN" w:bidi="hi-IN"/>
        </w:rPr>
        <w:t xml:space="preserve">8.2 </w:t>
      </w:r>
      <w:r w:rsidRPr="00A149A7">
        <w:rPr>
          <w:rFonts w:asciiTheme="minorHAnsi" w:eastAsia="Times New Roman" w:hAnsiTheme="minorHAnsi"/>
          <w:bCs/>
          <w:i/>
          <w:iCs/>
          <w:lang w:val="en-IN" w:bidi="hi-IN"/>
        </w:rPr>
        <w:t>The Business Plan filed by the Distribution Licensee shall contain separate sections on Distribution Wires Business and Retail Supply Business.</w:t>
      </w:r>
    </w:p>
    <w:p w:rsidR="00C959A8" w:rsidRPr="009A6247" w:rsidRDefault="00C959A8" w:rsidP="001D660C">
      <w:pPr>
        <w:pStyle w:val="EDNormal"/>
        <w:ind w:left="720"/>
        <w:rPr>
          <w:rFonts w:asciiTheme="minorHAnsi" w:eastAsia="Times New Roman" w:hAnsiTheme="minorHAnsi"/>
          <w:bCs/>
          <w:i/>
          <w:iCs/>
          <w:lang w:val="en-IN" w:bidi="hi-IN"/>
        </w:rPr>
      </w:pPr>
      <w:r w:rsidRPr="009A6247">
        <w:rPr>
          <w:rFonts w:asciiTheme="minorHAnsi" w:eastAsia="Times New Roman" w:hAnsiTheme="minorHAnsi"/>
          <w:bCs/>
          <w:i/>
          <w:iCs/>
          <w:lang w:val="en-IN" w:bidi="hi-IN"/>
        </w:rPr>
        <w:t>8.3 The Business Plan filed by the Transmission Licensee shall inter-alia contain:</w:t>
      </w:r>
    </w:p>
    <w:p w:rsidR="00C959A8" w:rsidRDefault="00C959A8" w:rsidP="001D660C">
      <w:pPr>
        <w:pStyle w:val="ED-H3"/>
        <w:numPr>
          <w:ilvl w:val="0"/>
          <w:numId w:val="0"/>
        </w:numPr>
        <w:ind w:left="1584"/>
      </w:pPr>
      <w:r w:rsidRPr="009A6247">
        <w:rPr>
          <w:bCs w:val="0"/>
          <w:i/>
          <w:iCs w:val="0"/>
        </w:rPr>
        <w:t>a) Projections for growth of load in the transmission network;</w:t>
      </w:r>
    </w:p>
    <w:p w:rsidR="00C959A8" w:rsidRDefault="00C959A8" w:rsidP="001D660C">
      <w:pPr>
        <w:pStyle w:val="EDNormal"/>
        <w:ind w:left="720"/>
        <w:rPr>
          <w:lang w:val="en-IN" w:bidi="hi-IN"/>
        </w:rPr>
      </w:pPr>
      <w:r>
        <w:rPr>
          <w:lang w:val="en-IN" w:bidi="hi-IN"/>
        </w:rPr>
        <w:t>…………..</w:t>
      </w:r>
    </w:p>
    <w:p w:rsidR="00C959A8" w:rsidRDefault="00C959A8" w:rsidP="001D660C">
      <w:pPr>
        <w:pStyle w:val="EDNormal"/>
        <w:ind w:left="720"/>
        <w:rPr>
          <w:lang w:val="en-IN" w:bidi="hi-IN"/>
        </w:rPr>
      </w:pPr>
      <w:r>
        <w:rPr>
          <w:lang w:val="en-IN" w:bidi="hi-IN"/>
        </w:rPr>
        <w:t>………..</w:t>
      </w:r>
    </w:p>
    <w:p w:rsidR="00C959A8" w:rsidRPr="009A6247" w:rsidRDefault="00C959A8" w:rsidP="001D660C">
      <w:pPr>
        <w:pStyle w:val="EDNormal"/>
        <w:ind w:left="720"/>
        <w:rPr>
          <w:i/>
          <w:lang w:val="en-IN" w:bidi="hi-IN"/>
        </w:rPr>
      </w:pPr>
      <w:r w:rsidRPr="009A6247">
        <w:rPr>
          <w:i/>
          <w:lang w:val="en-IN" w:bidi="hi-IN"/>
        </w:rPr>
        <w:t>8.4 The Business Plan filed by Distribution Licensee shall inter-alia contain;</w:t>
      </w:r>
    </w:p>
    <w:p w:rsidR="00C959A8" w:rsidRPr="009A6247" w:rsidRDefault="00C959A8" w:rsidP="001D660C">
      <w:pPr>
        <w:pStyle w:val="EDNormal"/>
        <w:ind w:left="720"/>
        <w:rPr>
          <w:i/>
          <w:lang w:val="en-IN" w:bidi="hi-IN"/>
        </w:rPr>
      </w:pPr>
      <w:r w:rsidRPr="009A6247">
        <w:rPr>
          <w:i/>
          <w:lang w:val="en-IN" w:bidi="hi-IN"/>
        </w:rPr>
        <w:t>a) Capital Investment Plan for each Year of the Control Period commensurate with load growth, distribution loss reduction trajectory and quality improvement measures proposed in the Business Plan in accordance with Regulation 8.5;</w:t>
      </w:r>
    </w:p>
    <w:p w:rsidR="00C959A8" w:rsidRPr="009A6247" w:rsidRDefault="00C959A8" w:rsidP="001D660C">
      <w:pPr>
        <w:pStyle w:val="EDNormal"/>
        <w:ind w:left="720"/>
        <w:rPr>
          <w:i/>
          <w:lang w:val="en-IN" w:bidi="hi-IN"/>
        </w:rPr>
      </w:pPr>
      <w:r w:rsidRPr="009A6247">
        <w:rPr>
          <w:i/>
          <w:lang w:val="en-IN" w:bidi="hi-IN"/>
        </w:rPr>
        <w:t>b) Capital Structure of each scheme proposed and cost of financing (interest on debt and return on equity), terms of the existing loan agreement</w:t>
      </w:r>
      <w:r>
        <w:rPr>
          <w:i/>
          <w:lang w:val="en-IN" w:bidi="hi-IN"/>
        </w:rPr>
        <w:t>s, etc</w:t>
      </w:r>
      <w:r w:rsidRPr="009A6247">
        <w:rPr>
          <w:i/>
          <w:lang w:val="en-IN" w:bidi="hi-IN"/>
        </w:rPr>
        <w:t>;</w:t>
      </w:r>
    </w:p>
    <w:p w:rsidR="00C959A8" w:rsidRPr="009A6247" w:rsidRDefault="00C959A8" w:rsidP="001D660C">
      <w:pPr>
        <w:pStyle w:val="EDNormal"/>
        <w:ind w:left="720"/>
        <w:rPr>
          <w:i/>
          <w:lang w:val="en-IN" w:bidi="hi-IN"/>
        </w:rPr>
      </w:pPr>
      <w:r w:rsidRPr="009A6247">
        <w:rPr>
          <w:i/>
          <w:lang w:val="en-IN" w:bidi="hi-IN"/>
        </w:rPr>
        <w:t>c) Sales Forecast for each customer category and sub-categories for each Year of the Control Period in accordance with Regulation 8.6;</w:t>
      </w:r>
    </w:p>
    <w:p w:rsidR="00C959A8" w:rsidRPr="009A6247" w:rsidRDefault="00C959A8" w:rsidP="001D660C">
      <w:pPr>
        <w:pStyle w:val="EDNormal"/>
        <w:ind w:left="720"/>
        <w:rPr>
          <w:i/>
          <w:lang w:val="en-IN" w:bidi="hi-IN"/>
        </w:rPr>
      </w:pPr>
      <w:r w:rsidRPr="009A6247">
        <w:rPr>
          <w:i/>
          <w:lang w:val="en-IN" w:bidi="hi-IN"/>
        </w:rPr>
        <w:t>d) Power Procurement Plan based on the Sales Forecast and distribution loss trajectory for each Year of the Control Period in accordance the Regulation 8.7;</w:t>
      </w:r>
    </w:p>
    <w:p w:rsidR="00C959A8" w:rsidRPr="009A6247" w:rsidRDefault="00C959A8" w:rsidP="001D660C">
      <w:pPr>
        <w:pStyle w:val="EDNormal"/>
        <w:ind w:left="720"/>
        <w:rPr>
          <w:i/>
          <w:lang w:val="en-IN" w:bidi="hi-IN"/>
        </w:rPr>
      </w:pPr>
      <w:r w:rsidRPr="009A6247">
        <w:rPr>
          <w:i/>
          <w:lang w:val="en-IN" w:bidi="hi-IN"/>
        </w:rPr>
        <w:t>e) Targets for distribution loss for each Year of the Control Period consistent with the Capital Investment Plan proposed by the Licensee;</w:t>
      </w:r>
    </w:p>
    <w:p w:rsidR="00C959A8" w:rsidRPr="009A6247" w:rsidRDefault="00C959A8" w:rsidP="001D660C">
      <w:pPr>
        <w:pStyle w:val="EDNormal"/>
        <w:ind w:left="720"/>
        <w:rPr>
          <w:i/>
          <w:lang w:val="en-IN" w:bidi="hi-IN"/>
        </w:rPr>
      </w:pPr>
      <w:r w:rsidRPr="009A6247">
        <w:rPr>
          <w:i/>
          <w:lang w:val="en-IN" w:bidi="hi-IN"/>
        </w:rPr>
        <w:t>f) Projections for number of employees during each Year of the Control Period based on proposed recruitments and retirement;</w:t>
      </w:r>
    </w:p>
    <w:p w:rsidR="00C959A8" w:rsidRPr="009A6247" w:rsidRDefault="00C959A8" w:rsidP="001D660C">
      <w:pPr>
        <w:pStyle w:val="EDNormal"/>
        <w:ind w:left="720"/>
        <w:rPr>
          <w:i/>
          <w:lang w:val="en-IN" w:bidi="hi-IN"/>
        </w:rPr>
      </w:pPr>
      <w:r w:rsidRPr="009A6247">
        <w:rPr>
          <w:i/>
          <w:lang w:val="en-IN" w:bidi="hi-IN"/>
        </w:rPr>
        <w:t>g) Proposals in respect of income from Other Business for each Year of the Control Period.</w:t>
      </w:r>
    </w:p>
    <w:p w:rsidR="00C959A8" w:rsidRDefault="00C959A8" w:rsidP="001D660C">
      <w:pPr>
        <w:pStyle w:val="EDNormal"/>
        <w:rPr>
          <w:lang w:val="en-IN" w:bidi="hi-IN"/>
        </w:rPr>
      </w:pPr>
      <w:r>
        <w:rPr>
          <w:lang w:val="en-IN" w:bidi="hi-IN"/>
        </w:rPr>
        <w:t xml:space="preserve">            Unquote</w:t>
      </w:r>
    </w:p>
    <w:p w:rsidR="00C959A8" w:rsidRPr="00BE39C7" w:rsidRDefault="00C959A8" w:rsidP="001D660C">
      <w:pPr>
        <w:pStyle w:val="EDNormal"/>
        <w:rPr>
          <w:lang w:val="en-IN" w:bidi="hi-IN"/>
        </w:rPr>
      </w:pPr>
    </w:p>
    <w:p w:rsidR="00C959A8" w:rsidRDefault="00C959A8" w:rsidP="001D660C">
      <w:pPr>
        <w:pStyle w:val="ED-H3"/>
      </w:pPr>
      <w:r>
        <w:t>The Business Plan</w:t>
      </w:r>
      <w:r w:rsidRPr="000F65DB">
        <w:t xml:space="preserve"> prepared by </w:t>
      </w:r>
      <w:r>
        <w:t>PED</w:t>
      </w:r>
      <w:r w:rsidRPr="000F65DB">
        <w:t xml:space="preserve"> does not include the forecast of Aggregate Revenue Requirement for the control period as the same has to be submitted based on the Business Plan as approved by the Hon’ble Commission by order. The relevant extracts, Regulation </w:t>
      </w:r>
      <w:r>
        <w:t>5.2,</w:t>
      </w:r>
      <w:r w:rsidRPr="000F65DB">
        <w:t xml:space="preserve"> of the MYT regulations </w:t>
      </w:r>
      <w:r>
        <w:t xml:space="preserve">2018 </w:t>
      </w:r>
      <w:r w:rsidRPr="000F65DB">
        <w:t xml:space="preserve">are mentioned below: </w:t>
      </w:r>
    </w:p>
    <w:p w:rsidR="00C959A8" w:rsidRDefault="00C959A8" w:rsidP="001D660C">
      <w:pPr>
        <w:pStyle w:val="EDNormal"/>
        <w:ind w:left="709"/>
        <w:rPr>
          <w:rFonts w:asciiTheme="minorHAnsi" w:hAnsiTheme="minorHAnsi" w:cstheme="minorHAnsi"/>
          <w:i/>
          <w:iCs/>
          <w:szCs w:val="24"/>
        </w:rPr>
      </w:pPr>
      <w:r w:rsidRPr="000F65DB">
        <w:rPr>
          <w:rFonts w:asciiTheme="minorHAnsi" w:hAnsiTheme="minorHAnsi" w:cstheme="minorHAnsi"/>
          <w:i/>
          <w:iCs/>
          <w:szCs w:val="24"/>
        </w:rPr>
        <w:t>“</w:t>
      </w:r>
      <w:r>
        <w:rPr>
          <w:rFonts w:asciiTheme="minorHAnsi" w:hAnsiTheme="minorHAnsi" w:cstheme="minorHAnsi"/>
          <w:i/>
          <w:iCs/>
          <w:szCs w:val="24"/>
        </w:rPr>
        <w:t xml:space="preserve">5.2 </w:t>
      </w:r>
      <w:r w:rsidRPr="001F76F6">
        <w:rPr>
          <w:rFonts w:asciiTheme="minorHAnsi" w:hAnsiTheme="minorHAnsi" w:cstheme="minorHAnsi"/>
          <w:i/>
          <w:iCs/>
          <w:szCs w:val="24"/>
        </w:rPr>
        <w:t>The Multi-Year Tariff framework for determination of Aggregate Revenue Requirement and expected revenue from tariff and charges for Generating Company, Transmission Licensee, Distribution Wires Business and Retail Supply Business shall include the following:</w:t>
      </w:r>
    </w:p>
    <w:p w:rsidR="00C959A8" w:rsidRPr="001F76F6" w:rsidRDefault="00C959A8" w:rsidP="001D660C">
      <w:pPr>
        <w:pStyle w:val="EDNormal"/>
        <w:ind w:left="709"/>
        <w:rPr>
          <w:rFonts w:asciiTheme="minorHAnsi" w:hAnsiTheme="minorHAnsi" w:cstheme="minorHAnsi"/>
          <w:i/>
          <w:iCs/>
          <w:szCs w:val="24"/>
        </w:rPr>
      </w:pPr>
      <w:r w:rsidRPr="001F76F6">
        <w:rPr>
          <w:rFonts w:asciiTheme="minorHAnsi" w:hAnsiTheme="minorHAnsi" w:cstheme="minorHAnsi"/>
          <w:i/>
          <w:iCs/>
          <w:szCs w:val="24"/>
        </w:rPr>
        <w:t>a</w:t>
      </w:r>
      <w:r w:rsidRPr="009A6247">
        <w:rPr>
          <w:rFonts w:asciiTheme="minorHAnsi" w:hAnsiTheme="minorHAnsi" w:cstheme="minorHAnsi"/>
          <w:b/>
          <w:i/>
          <w:iCs/>
          <w:szCs w:val="24"/>
        </w:rPr>
        <w:t>) Business Plan for the Licensee, for the entire Control Period as submitted to the Commission for approval, prior to the start of the Control Period</w:t>
      </w:r>
      <w:r w:rsidRPr="001F76F6">
        <w:rPr>
          <w:rFonts w:asciiTheme="minorHAnsi" w:hAnsiTheme="minorHAnsi" w:cstheme="minorHAnsi"/>
          <w:i/>
          <w:iCs/>
          <w:szCs w:val="24"/>
        </w:rPr>
        <w:t>;</w:t>
      </w:r>
    </w:p>
    <w:p w:rsidR="00C959A8" w:rsidRPr="001F76F6" w:rsidRDefault="00C959A8" w:rsidP="001D660C">
      <w:pPr>
        <w:pStyle w:val="EDNormal"/>
        <w:ind w:left="709"/>
        <w:rPr>
          <w:rFonts w:asciiTheme="minorHAnsi" w:hAnsiTheme="minorHAnsi" w:cstheme="minorHAnsi"/>
          <w:i/>
          <w:iCs/>
          <w:szCs w:val="24"/>
        </w:rPr>
      </w:pPr>
      <w:r w:rsidRPr="001F76F6">
        <w:rPr>
          <w:rFonts w:asciiTheme="minorHAnsi" w:hAnsiTheme="minorHAnsi" w:cstheme="minorHAnsi"/>
          <w:i/>
          <w:iCs/>
          <w:szCs w:val="24"/>
        </w:rPr>
        <w:t>b) A detailed Multi-Year Tariff Application comprising of the year-wise forecast of Aggregate Revenue Requirement for the entire Control Period and determination of expected revenue from existing tariffs for the first Year of the Control Period submitted by the Applicant:</w:t>
      </w:r>
    </w:p>
    <w:p w:rsidR="00C959A8" w:rsidRPr="009A6247" w:rsidRDefault="00C959A8" w:rsidP="001D660C">
      <w:pPr>
        <w:pStyle w:val="EDNormal"/>
        <w:ind w:left="709"/>
        <w:rPr>
          <w:rFonts w:asciiTheme="minorHAnsi" w:hAnsiTheme="minorHAnsi" w:cstheme="minorHAnsi"/>
          <w:b/>
          <w:i/>
          <w:iCs/>
          <w:szCs w:val="24"/>
        </w:rPr>
      </w:pPr>
      <w:r w:rsidRPr="009A6247">
        <w:rPr>
          <w:rFonts w:asciiTheme="minorHAnsi" w:hAnsiTheme="minorHAnsi" w:cstheme="minorHAnsi"/>
          <w:b/>
          <w:i/>
          <w:iCs/>
          <w:szCs w:val="24"/>
        </w:rPr>
        <w:lastRenderedPageBreak/>
        <w:t>Provided that the performance parameters, whose trajectories have been specified in these Regulations or the Business Plan or the Multi-Year Tariff Order, shall form the basis for projection of these performance parameters in the Aggregate Revenue Requirement for the entire Control Period:</w:t>
      </w:r>
    </w:p>
    <w:p w:rsidR="00C959A8" w:rsidRDefault="00C959A8" w:rsidP="001D660C">
      <w:pPr>
        <w:pStyle w:val="EDNormal"/>
        <w:ind w:left="709"/>
        <w:rPr>
          <w:rFonts w:asciiTheme="minorHAnsi" w:hAnsiTheme="minorHAnsi" w:cstheme="minorHAnsi"/>
          <w:i/>
          <w:iCs/>
          <w:szCs w:val="24"/>
        </w:rPr>
      </w:pPr>
      <w:r w:rsidRPr="001F76F6">
        <w:rPr>
          <w:rFonts w:asciiTheme="minorHAnsi" w:hAnsiTheme="minorHAnsi" w:cstheme="minorHAnsi"/>
          <w:i/>
          <w:iCs/>
          <w:szCs w:val="24"/>
        </w:rPr>
        <w:t>Provided further that a Mid-term Review of the Aggregate Revenue Requirement may be undertaken for the Generating Company, Transmission Licensee and Distribution Licensee on an application that shall be filed by the utilities along with the application for tariff determination for the third Year of the Control Period;</w:t>
      </w:r>
      <w:r>
        <w:rPr>
          <w:rFonts w:asciiTheme="minorHAnsi" w:hAnsiTheme="minorHAnsi" w:cstheme="minorHAnsi"/>
          <w:i/>
          <w:iCs/>
          <w:szCs w:val="24"/>
        </w:rPr>
        <w:t>”</w:t>
      </w:r>
    </w:p>
    <w:p w:rsidR="00C959A8" w:rsidRPr="000F65DB" w:rsidRDefault="00C959A8" w:rsidP="001D660C">
      <w:pPr>
        <w:pStyle w:val="EDNormal"/>
        <w:ind w:left="720"/>
        <w:rPr>
          <w:rFonts w:asciiTheme="minorHAnsi" w:hAnsiTheme="minorHAnsi" w:cstheme="minorHAnsi"/>
          <w:i/>
          <w:iCs/>
          <w:szCs w:val="24"/>
        </w:rPr>
      </w:pPr>
    </w:p>
    <w:p w:rsidR="00C959A8" w:rsidRDefault="00C959A8" w:rsidP="001D660C">
      <w:pPr>
        <w:pStyle w:val="ED-H2"/>
      </w:pPr>
      <w:bookmarkStart w:id="36" w:name="_Toc331522226"/>
      <w:bookmarkStart w:id="37" w:name="_Toc523560489"/>
      <w:bookmarkStart w:id="38" w:name="_Toc523724467"/>
      <w:r w:rsidRPr="000F65DB">
        <w:t>Approach to Business Plan</w:t>
      </w:r>
      <w:bookmarkEnd w:id="36"/>
      <w:bookmarkEnd w:id="37"/>
      <w:bookmarkEnd w:id="38"/>
    </w:p>
    <w:p w:rsidR="00C959A8" w:rsidRDefault="00C959A8" w:rsidP="001D660C">
      <w:pPr>
        <w:pStyle w:val="ED-H3"/>
      </w:pPr>
      <w:r w:rsidRPr="006A4E72">
        <w:t>PED has prepared the Business Plan taking cognizance of the existing internal factors and external business environment affecting the business. PED submits that the Business Plan being a dynamic document may need to be updated at periodic intervals taking into account the changes in the internal and external environment and these changes would be intimated to the Hon’ble Commission from time to time. In line with clause 8.4 of the MYT Regulations 2018, the Business Plan comprises of the category-wise sales and demand projections, power procurement plan, capital investment plan, financing plan and targets of distribution loss for the control period starting from FY 2019-20 to FY 2021-22. Apart from this, PED has also attempted to develop this business plan with a view to chart out the growth plan for the period after considering the strengths and weaknesses of the department and evaluating its business environment by conducting a SWOT analysis.</w:t>
      </w:r>
    </w:p>
    <w:p w:rsidR="00C959A8" w:rsidRPr="009A6247" w:rsidRDefault="00C959A8" w:rsidP="001D660C">
      <w:pPr>
        <w:pStyle w:val="EDNormal"/>
      </w:pPr>
    </w:p>
    <w:p w:rsidR="00C959A8" w:rsidRDefault="00C959A8" w:rsidP="001D660C">
      <w:pPr>
        <w:pStyle w:val="ED-H3"/>
      </w:pPr>
      <w:r w:rsidRPr="006A4E72">
        <w:t>The projections are based on the audited figures of PED for FY 2014-15, FY 2015-16 and FY 2016-17 and unaudited actuals of FY 2017-18. The Financial Statements of PED are enclosed as Annexure 1, Annexure 2 and Annexure 3.</w:t>
      </w:r>
    </w:p>
    <w:p w:rsidR="00C959A8" w:rsidRPr="009A6247" w:rsidRDefault="00C959A8" w:rsidP="001D660C">
      <w:pPr>
        <w:pStyle w:val="EDNormal"/>
      </w:pPr>
    </w:p>
    <w:p w:rsidR="00C959A8" w:rsidRDefault="00C959A8" w:rsidP="001D660C">
      <w:pPr>
        <w:pStyle w:val="ED-H3"/>
      </w:pPr>
      <w:r w:rsidRPr="000F65DB">
        <w:t xml:space="preserve">Therefore, the basic principles considered while preparing the Business Plan is keeping in mind the requisites to address the initiatives to enhance the </w:t>
      </w:r>
      <w:r>
        <w:t xml:space="preserve">performance of </w:t>
      </w:r>
      <w:r w:rsidRPr="000F65DB">
        <w:t>power sector viz</w:t>
      </w:r>
      <w:r>
        <w:t>.</w:t>
      </w:r>
      <w:r w:rsidRPr="000F65DB">
        <w:t xml:space="preserve"> network development, tariff management, efficient operation and customer service.</w:t>
      </w:r>
    </w:p>
    <w:p w:rsidR="00C959A8" w:rsidRPr="009A6247" w:rsidRDefault="00C959A8" w:rsidP="001D660C">
      <w:pPr>
        <w:pStyle w:val="EDNormal"/>
      </w:pPr>
    </w:p>
    <w:p w:rsidR="00C959A8" w:rsidRDefault="00C959A8" w:rsidP="001D660C">
      <w:pPr>
        <w:pStyle w:val="ED-H3"/>
      </w:pPr>
      <w:r w:rsidRPr="00C4243A">
        <w:rPr>
          <w:u w:val="single"/>
        </w:rPr>
        <w:t>Network development strategy</w:t>
      </w:r>
      <w:r w:rsidRPr="000F65DB">
        <w:t>:</w:t>
      </w:r>
    </w:p>
    <w:p w:rsidR="00C959A8" w:rsidRDefault="00C959A8" w:rsidP="001D660C">
      <w:pPr>
        <w:pStyle w:val="EDNormal"/>
        <w:ind w:left="709"/>
        <w:rPr>
          <w:rFonts w:asciiTheme="minorHAnsi" w:hAnsiTheme="minorHAnsi" w:cstheme="minorHAnsi"/>
          <w:szCs w:val="24"/>
        </w:rPr>
      </w:pPr>
      <w:r w:rsidRPr="000F65DB">
        <w:rPr>
          <w:rFonts w:asciiTheme="minorHAnsi" w:hAnsiTheme="minorHAnsi" w:cstheme="minorHAnsi"/>
          <w:szCs w:val="24"/>
        </w:rPr>
        <w:t xml:space="preserve">As per Section 43 of the Electricity Act, 2003, the distribution licensees are obliged to supply power to bonafide consumer who desires to avail power supply. </w:t>
      </w:r>
    </w:p>
    <w:p w:rsidR="00C959A8" w:rsidRDefault="00C959A8" w:rsidP="001D660C">
      <w:pPr>
        <w:pStyle w:val="EDNormal"/>
        <w:ind w:left="709"/>
        <w:rPr>
          <w:rFonts w:asciiTheme="minorHAnsi" w:hAnsiTheme="minorHAnsi" w:cstheme="minorHAnsi"/>
          <w:szCs w:val="24"/>
        </w:rPr>
      </w:pPr>
      <w:r>
        <w:rPr>
          <w:rFonts w:asciiTheme="minorHAnsi" w:hAnsiTheme="minorHAnsi" w:cstheme="minorHAnsi"/>
          <w:szCs w:val="24"/>
        </w:rPr>
        <w:t>PED</w:t>
      </w:r>
      <w:r w:rsidRPr="000F65DB">
        <w:rPr>
          <w:rFonts w:asciiTheme="minorHAnsi" w:hAnsiTheme="minorHAnsi" w:cstheme="minorHAnsi"/>
          <w:szCs w:val="24"/>
        </w:rPr>
        <w:t xml:space="preserve"> would continue to carry out its universal service obligation of supplying power to the bonafide consumers in the future as well. </w:t>
      </w:r>
      <w:r>
        <w:rPr>
          <w:rFonts w:asciiTheme="minorHAnsi" w:hAnsiTheme="minorHAnsi" w:cstheme="minorHAnsi"/>
          <w:szCs w:val="24"/>
        </w:rPr>
        <w:t>PED</w:t>
      </w:r>
      <w:r w:rsidRPr="000F65DB">
        <w:rPr>
          <w:rFonts w:asciiTheme="minorHAnsi" w:hAnsiTheme="minorHAnsi" w:cstheme="minorHAnsi"/>
          <w:szCs w:val="24"/>
        </w:rPr>
        <w:t xml:space="preserve"> will also maintain its current effo</w:t>
      </w:r>
      <w:r>
        <w:rPr>
          <w:rFonts w:asciiTheme="minorHAnsi" w:hAnsiTheme="minorHAnsi" w:cstheme="minorHAnsi"/>
          <w:szCs w:val="24"/>
        </w:rPr>
        <w:t>rts in order to strengthen its</w:t>
      </w:r>
      <w:r w:rsidRPr="000F65DB">
        <w:rPr>
          <w:rFonts w:asciiTheme="minorHAnsi" w:hAnsiTheme="minorHAnsi" w:cstheme="minorHAnsi"/>
          <w:szCs w:val="24"/>
        </w:rPr>
        <w:t xml:space="preserve"> distribution syste</w:t>
      </w:r>
      <w:r>
        <w:rPr>
          <w:rFonts w:asciiTheme="minorHAnsi" w:hAnsiTheme="minorHAnsi" w:cstheme="minorHAnsi"/>
          <w:szCs w:val="24"/>
        </w:rPr>
        <w:t xml:space="preserve">m furthermore so as to provide </w:t>
      </w:r>
      <w:r w:rsidRPr="000F65DB">
        <w:rPr>
          <w:rFonts w:asciiTheme="minorHAnsi" w:hAnsiTheme="minorHAnsi" w:cstheme="minorHAnsi"/>
          <w:szCs w:val="24"/>
        </w:rPr>
        <w:t>even better services</w:t>
      </w:r>
      <w:r>
        <w:rPr>
          <w:rFonts w:asciiTheme="minorHAnsi" w:hAnsiTheme="minorHAnsi" w:cstheme="minorHAnsi"/>
          <w:szCs w:val="24"/>
        </w:rPr>
        <w:t xml:space="preserve"> and also to meet the load growth within the area of the </w:t>
      </w:r>
      <w:r>
        <w:rPr>
          <w:rFonts w:asciiTheme="minorHAnsi" w:hAnsiTheme="minorHAnsi" w:cstheme="minorHAnsi"/>
          <w:szCs w:val="24"/>
        </w:rPr>
        <w:lastRenderedPageBreak/>
        <w:t>licensee</w:t>
      </w:r>
      <w:r w:rsidRPr="000F65DB">
        <w:rPr>
          <w:rFonts w:asciiTheme="minorHAnsi" w:hAnsiTheme="minorHAnsi" w:cstheme="minorHAnsi"/>
          <w:szCs w:val="24"/>
        </w:rPr>
        <w:t xml:space="preserve">. </w:t>
      </w:r>
      <w:r>
        <w:rPr>
          <w:rFonts w:asciiTheme="minorHAnsi" w:hAnsiTheme="minorHAnsi" w:cstheme="minorHAnsi"/>
          <w:szCs w:val="24"/>
        </w:rPr>
        <w:t xml:space="preserve">PED is further planning to use new technologies to improve the </w:t>
      </w:r>
      <w:r w:rsidR="001D660C">
        <w:rPr>
          <w:rFonts w:asciiTheme="minorHAnsi" w:hAnsiTheme="minorHAnsi" w:cstheme="minorHAnsi"/>
          <w:szCs w:val="24"/>
        </w:rPr>
        <w:t>reliability</w:t>
      </w:r>
      <w:r>
        <w:rPr>
          <w:rFonts w:asciiTheme="minorHAnsi" w:hAnsiTheme="minorHAnsi" w:cstheme="minorHAnsi"/>
          <w:szCs w:val="24"/>
        </w:rPr>
        <w:t xml:space="preserve"> of the system. PED</w:t>
      </w:r>
      <w:r w:rsidRPr="000F65DB">
        <w:rPr>
          <w:rFonts w:asciiTheme="minorHAnsi" w:hAnsiTheme="minorHAnsi" w:cstheme="minorHAnsi"/>
          <w:szCs w:val="24"/>
        </w:rPr>
        <w:t xml:space="preserve"> is </w:t>
      </w:r>
      <w:r>
        <w:rPr>
          <w:rFonts w:asciiTheme="minorHAnsi" w:hAnsiTheme="minorHAnsi" w:cstheme="minorHAnsi"/>
          <w:szCs w:val="24"/>
        </w:rPr>
        <w:t>in the process of</w:t>
      </w:r>
      <w:r w:rsidRPr="000F65DB">
        <w:rPr>
          <w:rFonts w:asciiTheme="minorHAnsi" w:hAnsiTheme="minorHAnsi" w:cstheme="minorHAnsi"/>
          <w:szCs w:val="24"/>
        </w:rPr>
        <w:t xml:space="preserve"> availing a loan from Japan International Cooperation Agency (JICA) for improvement in transmission and distribution system to meet the growing power demand and to design a system with lesser T&amp;D loss. </w:t>
      </w:r>
    </w:p>
    <w:p w:rsidR="00C959A8" w:rsidRDefault="00C959A8" w:rsidP="001D660C">
      <w:pPr>
        <w:pStyle w:val="EDNormal"/>
        <w:ind w:left="864"/>
        <w:rPr>
          <w:rFonts w:asciiTheme="minorHAnsi" w:hAnsiTheme="minorHAnsi" w:cstheme="minorHAnsi"/>
          <w:szCs w:val="24"/>
        </w:rPr>
      </w:pPr>
    </w:p>
    <w:p w:rsidR="00C959A8" w:rsidRDefault="00C959A8" w:rsidP="001D660C">
      <w:pPr>
        <w:pStyle w:val="ED-H3"/>
      </w:pPr>
      <w:r w:rsidRPr="00C4243A">
        <w:rPr>
          <w:u w:val="single"/>
        </w:rPr>
        <w:t>Tariff management</w:t>
      </w:r>
      <w:r w:rsidRPr="000F65DB">
        <w:t>:</w:t>
      </w:r>
    </w:p>
    <w:p w:rsidR="00C959A8" w:rsidRDefault="00C959A8" w:rsidP="001D660C">
      <w:pPr>
        <w:pStyle w:val="EDNormal"/>
        <w:ind w:left="709"/>
        <w:rPr>
          <w:rFonts w:asciiTheme="minorHAnsi" w:hAnsiTheme="minorHAnsi" w:cstheme="minorHAnsi"/>
          <w:szCs w:val="24"/>
        </w:rPr>
      </w:pPr>
      <w:r w:rsidRPr="000F65DB">
        <w:rPr>
          <w:rFonts w:asciiTheme="minorHAnsi" w:hAnsiTheme="minorHAnsi" w:cstheme="minorHAnsi"/>
          <w:szCs w:val="24"/>
        </w:rPr>
        <w:t>The Tariff is being determined by the Hon’ble Commission on a cost plus approach in line with the provisions specified in section 62 of the Electricity Act 2003</w:t>
      </w:r>
      <w:r>
        <w:rPr>
          <w:rFonts w:asciiTheme="minorHAnsi" w:hAnsiTheme="minorHAnsi" w:cstheme="minorHAnsi"/>
          <w:szCs w:val="24"/>
        </w:rPr>
        <w:t>.</w:t>
      </w:r>
      <w:r w:rsidRPr="000F65DB">
        <w:rPr>
          <w:rFonts w:asciiTheme="minorHAnsi" w:hAnsiTheme="minorHAnsi" w:cstheme="minorHAnsi"/>
          <w:szCs w:val="24"/>
        </w:rPr>
        <w:t xml:space="preserve"> The major components of tariff are power purchase cost, O&amp;M cost, cost associated with capital and such costs needs to be optimized. </w:t>
      </w:r>
      <w:r>
        <w:rPr>
          <w:rFonts w:asciiTheme="minorHAnsi" w:hAnsiTheme="minorHAnsi" w:cstheme="minorHAnsi"/>
          <w:szCs w:val="24"/>
        </w:rPr>
        <w:t>PED</w:t>
      </w:r>
      <w:r w:rsidRPr="000F65DB">
        <w:rPr>
          <w:rFonts w:asciiTheme="minorHAnsi" w:hAnsiTheme="minorHAnsi" w:cstheme="minorHAnsi"/>
          <w:szCs w:val="24"/>
        </w:rPr>
        <w:t xml:space="preserve"> has been rationalizing these costs through long term PPA with CGS, maintaining reduced loss levels and efficient business operations.</w:t>
      </w:r>
    </w:p>
    <w:p w:rsidR="00C959A8" w:rsidRPr="000F65DB" w:rsidRDefault="00C959A8" w:rsidP="001D660C">
      <w:pPr>
        <w:pStyle w:val="EDNormal"/>
        <w:ind w:left="720"/>
        <w:rPr>
          <w:rFonts w:asciiTheme="minorHAnsi" w:hAnsiTheme="minorHAnsi" w:cstheme="minorHAnsi"/>
          <w:szCs w:val="24"/>
        </w:rPr>
      </w:pPr>
    </w:p>
    <w:p w:rsidR="00C959A8" w:rsidRDefault="00C959A8" w:rsidP="001D660C">
      <w:pPr>
        <w:pStyle w:val="ED-H3"/>
      </w:pPr>
      <w:r w:rsidRPr="00C4243A">
        <w:rPr>
          <w:u w:val="single"/>
        </w:rPr>
        <w:t>Customer service</w:t>
      </w:r>
      <w:r w:rsidRPr="000F65DB">
        <w:t>:</w:t>
      </w:r>
    </w:p>
    <w:p w:rsidR="00C959A8" w:rsidRDefault="00C959A8" w:rsidP="001D660C">
      <w:pPr>
        <w:pStyle w:val="EDNormal"/>
        <w:ind w:left="709"/>
        <w:rPr>
          <w:rFonts w:asciiTheme="minorHAnsi" w:hAnsiTheme="minorHAnsi" w:cstheme="minorHAnsi"/>
          <w:szCs w:val="24"/>
        </w:rPr>
      </w:pPr>
      <w:r w:rsidRPr="000F65DB">
        <w:rPr>
          <w:rFonts w:asciiTheme="minorHAnsi" w:hAnsiTheme="minorHAnsi" w:cstheme="minorHAnsi"/>
          <w:szCs w:val="24"/>
        </w:rPr>
        <w:t xml:space="preserve">The main intent of </w:t>
      </w:r>
      <w:r>
        <w:rPr>
          <w:rFonts w:asciiTheme="minorHAnsi" w:hAnsiTheme="minorHAnsi" w:cstheme="minorHAnsi"/>
          <w:szCs w:val="24"/>
        </w:rPr>
        <w:t>PED</w:t>
      </w:r>
      <w:r w:rsidRPr="000F65DB">
        <w:rPr>
          <w:rFonts w:asciiTheme="minorHAnsi" w:hAnsiTheme="minorHAnsi" w:cstheme="minorHAnsi"/>
          <w:szCs w:val="24"/>
        </w:rPr>
        <w:t xml:space="preserve"> is to serve their consumers effectively and efficiently and in an attempt to do the same </w:t>
      </w:r>
      <w:r>
        <w:rPr>
          <w:rFonts w:asciiTheme="minorHAnsi" w:hAnsiTheme="minorHAnsi" w:cstheme="minorHAnsi"/>
          <w:szCs w:val="24"/>
        </w:rPr>
        <w:t>PED</w:t>
      </w:r>
      <w:r w:rsidRPr="000F65DB">
        <w:rPr>
          <w:rFonts w:asciiTheme="minorHAnsi" w:hAnsiTheme="minorHAnsi" w:cstheme="minorHAnsi"/>
          <w:szCs w:val="24"/>
        </w:rPr>
        <w:t xml:space="preserve"> has been carrying out various initiatives like setting up Consumer Grievance Redressal Forum (CGRF), Customer Relationship Centre, internet based payment, DSM initiatives like distribution of LED lamps and </w:t>
      </w:r>
      <w:r w:rsidRPr="00716C82">
        <w:rPr>
          <w:rFonts w:asciiTheme="minorHAnsi" w:hAnsiTheme="minorHAnsi" w:cstheme="minorHAnsi"/>
          <w:szCs w:val="24"/>
        </w:rPr>
        <w:t>plans on extending the same to street lights.</w:t>
      </w:r>
    </w:p>
    <w:p w:rsidR="00C959A8" w:rsidRDefault="00C959A8" w:rsidP="001D660C">
      <w:pPr>
        <w:pStyle w:val="EDNormal"/>
        <w:ind w:left="709"/>
      </w:pPr>
    </w:p>
    <w:p w:rsidR="005D6058" w:rsidRPr="005D6058" w:rsidRDefault="005D6058" w:rsidP="005D6058">
      <w:pPr>
        <w:pStyle w:val="ED-H2"/>
        <w:rPr>
          <w:rFonts w:cs="Arial"/>
          <w:b w:val="0"/>
          <w:bCs w:val="0"/>
          <w:caps/>
          <w:kern w:val="32"/>
          <w:szCs w:val="32"/>
        </w:rPr>
      </w:pPr>
      <w:bookmarkStart w:id="39" w:name="_Toc523724468"/>
      <w:r>
        <w:t>Review of previous control period</w:t>
      </w:r>
      <w:bookmarkEnd w:id="39"/>
    </w:p>
    <w:p w:rsidR="005D6058" w:rsidRDefault="005D6058" w:rsidP="0098412D">
      <w:pPr>
        <w:pStyle w:val="EDNormal"/>
        <w:ind w:left="720"/>
      </w:pPr>
      <w:r w:rsidRPr="00A479A9">
        <w:t>This section elucidates</w:t>
      </w:r>
      <w:r w:rsidR="0098412D" w:rsidRPr="0098412D">
        <w:t>brief</w:t>
      </w:r>
      <w:r w:rsidR="0098412D">
        <w:t xml:space="preserve">ly </w:t>
      </w:r>
      <w:r w:rsidR="0098412D" w:rsidRPr="0098412D">
        <w:t>of business plan filed i</w:t>
      </w:r>
      <w:r w:rsidR="0098412D">
        <w:t xml:space="preserve">n the earlier control periods providing the </w:t>
      </w:r>
      <w:r w:rsidR="0098412D" w:rsidRPr="0098412D">
        <w:t xml:space="preserve">highlights of </w:t>
      </w:r>
      <w:r w:rsidR="0098412D">
        <w:t xml:space="preserve">the </w:t>
      </w:r>
      <w:r w:rsidR="0098412D" w:rsidRPr="0098412D">
        <w:t>targets vs. achievement on various parameters</w:t>
      </w:r>
      <w:r w:rsidR="0098412D">
        <w:t xml:space="preserve"> discussed as under:</w:t>
      </w:r>
    </w:p>
    <w:p w:rsidR="005D6058" w:rsidRDefault="005D6058" w:rsidP="005D6058">
      <w:pPr>
        <w:pStyle w:val="EDNormal"/>
      </w:pPr>
      <w:bookmarkStart w:id="40" w:name="_Toc331522237"/>
    </w:p>
    <w:p w:rsidR="005D6058" w:rsidRPr="005D6058" w:rsidRDefault="005D6058" w:rsidP="005D6058">
      <w:pPr>
        <w:pStyle w:val="ED-H3"/>
        <w:rPr>
          <w:u w:val="single"/>
        </w:rPr>
      </w:pPr>
      <w:r w:rsidRPr="005D6058">
        <w:rPr>
          <w:u w:val="single"/>
        </w:rPr>
        <w:t>Capital Investment Plan vs Actuals</w:t>
      </w:r>
      <w:r>
        <w:rPr>
          <w:u w:val="single"/>
        </w:rPr>
        <w:t>:</w:t>
      </w:r>
    </w:p>
    <w:p w:rsidR="002F0A76" w:rsidRDefault="005D6058" w:rsidP="0098412D">
      <w:pPr>
        <w:pStyle w:val="ED-H3"/>
        <w:numPr>
          <w:ilvl w:val="0"/>
          <w:numId w:val="0"/>
        </w:numPr>
        <w:ind w:left="720"/>
      </w:pPr>
      <w:r>
        <w:t>The Commission in the business plan for the control period FY 2016-17 to FY 2018-19 approved the capital expenditure after detailed scrutiny of the justifications provided by PED</w:t>
      </w:r>
      <w:r w:rsidR="0098412D">
        <w:t xml:space="preserve">. </w:t>
      </w:r>
    </w:p>
    <w:p w:rsidR="005D6058" w:rsidRDefault="005D6058" w:rsidP="0098412D">
      <w:pPr>
        <w:pStyle w:val="ED-H3"/>
        <w:numPr>
          <w:ilvl w:val="0"/>
          <w:numId w:val="0"/>
        </w:numPr>
        <w:ind w:left="720"/>
      </w:pPr>
      <w:r>
        <w:t>The Commission considered the proposed costs of schemes reasonable and approved the same by keeping the funding form JICA from transmission projects and 100% metering programme in mind.</w:t>
      </w:r>
      <w:r w:rsidR="002F0A76">
        <w:t xml:space="preserve"> However, some schemes could not be started in the previous control period.</w:t>
      </w:r>
      <w:r w:rsidR="0098412D">
        <w:t xml:space="preserve">The status of </w:t>
      </w:r>
      <w:r w:rsidR="0098412D" w:rsidRPr="0098412D">
        <w:t>targets vs. achievement</w:t>
      </w:r>
      <w:r w:rsidR="0098412D">
        <w:t xml:space="preserve"> is provided in the table below:</w:t>
      </w:r>
    </w:p>
    <w:p w:rsidR="00041E40" w:rsidRDefault="00041E40" w:rsidP="00061AA6">
      <w:pPr>
        <w:pStyle w:val="Caption"/>
      </w:pPr>
      <w:bookmarkStart w:id="41" w:name="_Toc523719560"/>
      <w:r>
        <w:lastRenderedPageBreak/>
        <w:t xml:space="preserve">Table </w:t>
      </w:r>
      <w:r w:rsidR="00140E1B">
        <w:fldChar w:fldCharType="begin"/>
      </w:r>
      <w:r>
        <w:instrText xml:space="preserve"> SEQ Table \* ARABIC </w:instrText>
      </w:r>
      <w:r w:rsidR="00140E1B">
        <w:fldChar w:fldCharType="separate"/>
      </w:r>
      <w:r w:rsidR="004B7EE5">
        <w:rPr>
          <w:noProof/>
        </w:rPr>
        <w:t>1</w:t>
      </w:r>
      <w:r w:rsidR="00140E1B">
        <w:fldChar w:fldCharType="end"/>
      </w:r>
      <w:r>
        <w:t xml:space="preserve"> : Capital expenditure in previous control period</w:t>
      </w:r>
      <w:bookmarkEnd w:id="41"/>
    </w:p>
    <w:p w:rsidR="00AA7CED" w:rsidRDefault="00F42361" w:rsidP="00AA7CED">
      <w:pPr>
        <w:pStyle w:val="EDNormal"/>
        <w:rPr>
          <w:lang w:bidi="hi-IN"/>
        </w:rPr>
      </w:pPr>
      <w:r>
        <w:rPr>
          <w:lang w:bidi="hi-IN"/>
        </w:rPr>
        <w:object w:dxaOrig="12275" w:dyaOrig="90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05pt;height:395.45pt" o:ole="">
            <v:imagedata r:id="rId14" o:title=""/>
          </v:shape>
          <o:OLEObject Type="Embed" ProgID="Excel.Sheet.12" ShapeID="_x0000_i1025" DrawAspect="Content" ObjectID="_1598429495" r:id="rId15"/>
        </w:object>
      </w:r>
    </w:p>
    <w:p w:rsidR="00AA7CED" w:rsidRDefault="00AA7CED" w:rsidP="00AA7CED">
      <w:pPr>
        <w:pStyle w:val="EDNormal"/>
        <w:ind w:left="720"/>
        <w:rPr>
          <w:lang w:bidi="hi-IN"/>
        </w:rPr>
      </w:pPr>
      <w:r>
        <w:rPr>
          <w:lang w:bidi="hi-IN"/>
        </w:rPr>
        <w:t>The actual expenditure is less than the approved figures, due to constraints in budgetary allocation. Moreover, availing of loan from JICA was delayed on account of revision of scope of works and also in getting clearance from CEA. At present, approval of the CEA for the DPR costing Rs. 983.44 Crores has been obtained by PED.</w:t>
      </w:r>
    </w:p>
    <w:p w:rsidR="005D6058" w:rsidRPr="00F41BBD" w:rsidRDefault="005D6058" w:rsidP="00AA7CED">
      <w:pPr>
        <w:pStyle w:val="EDNormal"/>
        <w:rPr>
          <w:lang w:bidi="hi-IN"/>
        </w:rPr>
      </w:pPr>
    </w:p>
    <w:p w:rsidR="005D6058" w:rsidRPr="0098412D" w:rsidRDefault="005D6058" w:rsidP="0098412D">
      <w:pPr>
        <w:pStyle w:val="ED-H3"/>
        <w:rPr>
          <w:u w:val="single"/>
        </w:rPr>
      </w:pPr>
      <w:r w:rsidRPr="0098412D">
        <w:rPr>
          <w:u w:val="single"/>
        </w:rPr>
        <w:t>Capitalization</w:t>
      </w:r>
    </w:p>
    <w:p w:rsidR="005D6058" w:rsidRDefault="005D6058" w:rsidP="0098412D">
      <w:pPr>
        <w:pStyle w:val="ED-H3"/>
        <w:numPr>
          <w:ilvl w:val="0"/>
          <w:numId w:val="0"/>
        </w:numPr>
        <w:ind w:left="720"/>
      </w:pPr>
      <w:r w:rsidRPr="005112AC">
        <w:t xml:space="preserve">The petitioner in the Business plan petition for the earlier control period has proposed capitalization of the assets during the control period in the ratio of 60:40 of the capital expenditure whereby 60% of the capitalization in the first year and 40% in the succeeding years of the control period </w:t>
      </w:r>
      <w:r>
        <w:t xml:space="preserve">. The Commission noted that the ratio 60:40 </w:t>
      </w:r>
      <w:r w:rsidRPr="005112AC">
        <w:t>submitted by the petitioner as a reasonable one and after considering 40% of the capex of FY 2015-16 i.e. Rs. 105.48 Crores (as submitted by the Petitioner) to spill-over into FY 2016-17</w:t>
      </w:r>
      <w:r>
        <w:t>, capitalization plan for the control period FY 2016-17 to FY 2018-19 has been approved.</w:t>
      </w:r>
    </w:p>
    <w:p w:rsidR="00041E40" w:rsidRPr="00041E40" w:rsidRDefault="00041E40" w:rsidP="00041E40">
      <w:pPr>
        <w:pStyle w:val="EDNormal"/>
        <w:rPr>
          <w:lang w:val="en-IN" w:bidi="hi-IN"/>
        </w:rPr>
      </w:pPr>
    </w:p>
    <w:p w:rsidR="00041E40" w:rsidRDefault="00041E40" w:rsidP="00061AA6">
      <w:pPr>
        <w:pStyle w:val="Caption"/>
      </w:pPr>
      <w:bookmarkStart w:id="42" w:name="_Toc523719561"/>
      <w:r>
        <w:lastRenderedPageBreak/>
        <w:t xml:space="preserve">Table </w:t>
      </w:r>
      <w:r w:rsidR="00140E1B">
        <w:fldChar w:fldCharType="begin"/>
      </w:r>
      <w:r>
        <w:instrText xml:space="preserve"> SEQ Table \* ARABIC </w:instrText>
      </w:r>
      <w:r w:rsidR="00140E1B">
        <w:fldChar w:fldCharType="separate"/>
      </w:r>
      <w:r w:rsidR="004B7EE5">
        <w:rPr>
          <w:noProof/>
        </w:rPr>
        <w:t>2</w:t>
      </w:r>
      <w:r w:rsidR="00140E1B">
        <w:fldChar w:fldCharType="end"/>
      </w:r>
      <w:r>
        <w:t xml:space="preserve"> : Capitalization in previous control period</w:t>
      </w:r>
      <w:bookmarkEnd w:id="42"/>
    </w:p>
    <w:p w:rsidR="005D6058" w:rsidRDefault="00F42361" w:rsidP="00A5688C">
      <w:pPr>
        <w:pStyle w:val="EDNormal"/>
        <w:jc w:val="center"/>
        <w:rPr>
          <w:lang w:bidi="hi-IN"/>
        </w:rPr>
      </w:pPr>
      <w:r>
        <w:rPr>
          <w:lang w:bidi="hi-IN"/>
        </w:rPr>
        <w:object w:dxaOrig="12033" w:dyaOrig="9081">
          <v:shape id="_x0000_i1026" type="#_x0000_t75" style="width:461pt;height:409.45pt" o:ole="">
            <v:imagedata r:id="rId16" o:title=""/>
          </v:shape>
          <o:OLEObject Type="Embed" ProgID="Excel.Sheet.12" ShapeID="_x0000_i1026" DrawAspect="Content" ObjectID="_1598429496" r:id="rId17"/>
        </w:object>
      </w:r>
    </w:p>
    <w:p w:rsidR="00AA7CED" w:rsidRDefault="00AA7CED" w:rsidP="00AA7CED">
      <w:pPr>
        <w:pStyle w:val="EDNormal"/>
        <w:ind w:left="720"/>
        <w:rPr>
          <w:lang w:bidi="hi-IN"/>
        </w:rPr>
      </w:pPr>
      <w:r>
        <w:rPr>
          <w:lang w:bidi="hi-IN"/>
        </w:rPr>
        <w:t>The actual capitalisation is less than the approved figures, due to constraints in budgetary allocation.</w:t>
      </w:r>
    </w:p>
    <w:p w:rsidR="005D6058" w:rsidRPr="00574E3C" w:rsidRDefault="005D6058" w:rsidP="005D6058">
      <w:pPr>
        <w:pStyle w:val="EDNormal"/>
        <w:rPr>
          <w:lang w:bidi="hi-IN"/>
        </w:rPr>
      </w:pPr>
    </w:p>
    <w:p w:rsidR="005D6058" w:rsidRPr="00913C54" w:rsidRDefault="005D6058" w:rsidP="0098412D">
      <w:pPr>
        <w:pStyle w:val="ED-H3"/>
        <w:rPr>
          <w:u w:val="single"/>
        </w:rPr>
      </w:pPr>
      <w:r w:rsidRPr="00913C54">
        <w:rPr>
          <w:u w:val="single"/>
        </w:rPr>
        <w:t>Distribution loss trajectory</w:t>
      </w:r>
      <w:r w:rsidR="0098412D" w:rsidRPr="00913C54">
        <w:rPr>
          <w:u w:val="single"/>
        </w:rPr>
        <w:t>:</w:t>
      </w:r>
    </w:p>
    <w:p w:rsidR="003622C4" w:rsidRDefault="003622C4" w:rsidP="003622C4">
      <w:pPr>
        <w:pStyle w:val="ED-H3"/>
        <w:numPr>
          <w:ilvl w:val="0"/>
          <w:numId w:val="0"/>
        </w:numPr>
        <w:ind w:left="720"/>
      </w:pPr>
      <w:r>
        <w:t>The Distribution loss as projected could not be achieved due to less infusion of funds than proposed in the previous Business Plan to strengthen and improve the distribution network.</w:t>
      </w:r>
      <w:r w:rsidR="00D36FCA">
        <w:t xml:space="preserve"> The revised projection of 13% distribution loss for FY 2018-19 is proposed based on schemes proposed </w:t>
      </w:r>
      <w:r w:rsidR="00C4243A">
        <w:t xml:space="preserve">through </w:t>
      </w:r>
      <w:r w:rsidR="00D36FCA">
        <w:t>JICA loan</w:t>
      </w:r>
      <w:r w:rsidR="00C4243A">
        <w:t xml:space="preserve"> for improvement in transmission and distribution network and use of new technology. Further, PED has also started a drive to change all electromechanical meters to </w:t>
      </w:r>
      <w:r w:rsidR="00C4243A" w:rsidRPr="005A61C2">
        <w:t>smart</w:t>
      </w:r>
      <w:r w:rsidR="00C4243A">
        <w:t xml:space="preserve"> meter</w:t>
      </w:r>
      <w:r w:rsidR="005A61C2">
        <w:t>s</w:t>
      </w:r>
      <w:r w:rsidR="00C4243A">
        <w:t xml:space="preserve">, which would be further add in </w:t>
      </w:r>
      <w:r w:rsidR="00D36FCA">
        <w:t>improving the distribution system efficiency.</w:t>
      </w:r>
    </w:p>
    <w:p w:rsidR="00041E40" w:rsidRPr="00041E40" w:rsidRDefault="00041E40" w:rsidP="00041E40">
      <w:pPr>
        <w:pStyle w:val="EDNormal"/>
        <w:rPr>
          <w:lang w:val="en-IN" w:bidi="hi-IN"/>
        </w:rPr>
      </w:pPr>
    </w:p>
    <w:p w:rsidR="00041E40" w:rsidRDefault="00041E40" w:rsidP="00061AA6">
      <w:pPr>
        <w:pStyle w:val="Caption"/>
      </w:pPr>
      <w:bookmarkStart w:id="43" w:name="_Toc523719562"/>
      <w:r>
        <w:lastRenderedPageBreak/>
        <w:t xml:space="preserve">Table </w:t>
      </w:r>
      <w:r w:rsidR="00140E1B">
        <w:fldChar w:fldCharType="begin"/>
      </w:r>
      <w:r>
        <w:instrText xml:space="preserve"> SEQ Table \* ARABIC </w:instrText>
      </w:r>
      <w:r w:rsidR="00140E1B">
        <w:fldChar w:fldCharType="separate"/>
      </w:r>
      <w:r w:rsidR="004B7EE5">
        <w:rPr>
          <w:noProof/>
        </w:rPr>
        <w:t>3</w:t>
      </w:r>
      <w:r w:rsidR="00140E1B">
        <w:fldChar w:fldCharType="end"/>
      </w:r>
      <w:r>
        <w:t xml:space="preserve"> : Distribution losses in previous control period</w:t>
      </w:r>
      <w:bookmarkEnd w:id="43"/>
    </w:p>
    <w:p w:rsidR="005D6058" w:rsidRDefault="00F42361" w:rsidP="005D6058">
      <w:pPr>
        <w:pStyle w:val="EDNormal"/>
        <w:rPr>
          <w:lang w:bidi="hi-IN"/>
        </w:rPr>
      </w:pPr>
      <w:r>
        <w:rPr>
          <w:lang w:bidi="hi-IN"/>
        </w:rPr>
        <w:object w:dxaOrig="11530" w:dyaOrig="936">
          <v:shape id="_x0000_i1027" type="#_x0000_t75" style="width:454.05pt;height:43pt" o:ole="">
            <v:imagedata r:id="rId18" o:title=""/>
          </v:shape>
          <o:OLEObject Type="Embed" ProgID="Excel.Sheet.12" ShapeID="_x0000_i1027" DrawAspect="Content" ObjectID="_1598429497" r:id="rId19"/>
        </w:object>
      </w:r>
    </w:p>
    <w:p w:rsidR="005D6058" w:rsidRPr="00913C54" w:rsidRDefault="005D6058" w:rsidP="0098412D">
      <w:pPr>
        <w:pStyle w:val="ED-H3"/>
        <w:rPr>
          <w:u w:val="single"/>
        </w:rPr>
      </w:pPr>
      <w:r w:rsidRPr="00913C54">
        <w:rPr>
          <w:u w:val="single"/>
        </w:rPr>
        <w:t>Sales forecast</w:t>
      </w:r>
    </w:p>
    <w:p w:rsidR="005D6058" w:rsidRDefault="005D6058" w:rsidP="0098412D">
      <w:pPr>
        <w:pStyle w:val="ED-H3"/>
        <w:numPr>
          <w:ilvl w:val="0"/>
          <w:numId w:val="0"/>
        </w:numPr>
        <w:ind w:left="720"/>
        <w:rPr>
          <w:sz w:val="23"/>
          <w:szCs w:val="23"/>
        </w:rPr>
      </w:pPr>
      <w:r>
        <w:t xml:space="preserve">Quantum of sales is an uncontrollable parameter and the same has been quoted in </w:t>
      </w:r>
      <w:r w:rsidRPr="009450C3">
        <w:t>MYT Regulations. The lower energy sales is pervious control period is due to poor industrial growth rate and performance of industries. The reduced consumption by the Steel companies due to poor market demand has also hampered the expected sales growth</w:t>
      </w:r>
      <w:r>
        <w:t>.</w:t>
      </w:r>
    </w:p>
    <w:p w:rsidR="005D6058" w:rsidRDefault="005D6058" w:rsidP="005D6058">
      <w:pPr>
        <w:pStyle w:val="EDNormal"/>
        <w:rPr>
          <w:lang w:bidi="hi-IN"/>
        </w:rPr>
      </w:pPr>
    </w:p>
    <w:p w:rsidR="00041E40" w:rsidRDefault="00041E40" w:rsidP="00061AA6">
      <w:pPr>
        <w:pStyle w:val="Caption"/>
      </w:pPr>
      <w:bookmarkStart w:id="44" w:name="_Toc523719563"/>
      <w:r>
        <w:t xml:space="preserve">Table </w:t>
      </w:r>
      <w:r w:rsidR="00140E1B">
        <w:fldChar w:fldCharType="begin"/>
      </w:r>
      <w:r>
        <w:instrText xml:space="preserve"> SEQ Table \* ARABIC </w:instrText>
      </w:r>
      <w:r w:rsidR="00140E1B">
        <w:fldChar w:fldCharType="separate"/>
      </w:r>
      <w:r w:rsidR="004B7EE5">
        <w:rPr>
          <w:noProof/>
        </w:rPr>
        <w:t>4</w:t>
      </w:r>
      <w:r w:rsidR="00140E1B">
        <w:fldChar w:fldCharType="end"/>
      </w:r>
      <w:r>
        <w:t xml:space="preserve"> : Energy sales in previous control period</w:t>
      </w:r>
      <w:bookmarkEnd w:id="44"/>
    </w:p>
    <w:p w:rsidR="005D6058" w:rsidRDefault="00053B6D" w:rsidP="005D6058">
      <w:pPr>
        <w:pStyle w:val="EDNormal"/>
        <w:rPr>
          <w:lang w:bidi="hi-IN"/>
        </w:rPr>
      </w:pPr>
      <w:r>
        <w:rPr>
          <w:lang w:bidi="hi-IN"/>
        </w:rPr>
        <w:object w:dxaOrig="12817" w:dyaOrig="3816">
          <v:shape id="_x0000_i1028" type="#_x0000_t75" style="width:461pt;height:187pt" o:ole="">
            <v:imagedata r:id="rId20" o:title=""/>
          </v:shape>
          <o:OLEObject Type="Embed" ProgID="Excel.Sheet.12" ShapeID="_x0000_i1028" DrawAspect="Content" ObjectID="_1598429498" r:id="rId21"/>
        </w:object>
      </w:r>
    </w:p>
    <w:p w:rsidR="005D6058" w:rsidRDefault="005D6058" w:rsidP="005D6058">
      <w:pPr>
        <w:pStyle w:val="EDNormal"/>
        <w:rPr>
          <w:lang w:bidi="hi-IN"/>
        </w:rPr>
      </w:pPr>
      <w:r>
        <w:rPr>
          <w:lang w:bidi="hi-IN"/>
        </w:rPr>
        <w:t xml:space="preserve">CAGR of sales corresponding to each category for Last 5 years is used for revising the estimates in FY 2018-19. An exception of rate of increase in HT category </w:t>
      </w:r>
      <w:r w:rsidR="003622C4">
        <w:rPr>
          <w:lang w:bidi="hi-IN"/>
        </w:rPr>
        <w:t>is considered due to expected de</w:t>
      </w:r>
      <w:r>
        <w:rPr>
          <w:lang w:bidi="hi-IN"/>
        </w:rPr>
        <w:t>crease in HT Open access sales due to imposition of additional surcharge.</w:t>
      </w:r>
    </w:p>
    <w:p w:rsidR="005D6058" w:rsidRPr="004E62FB" w:rsidRDefault="005D6058" w:rsidP="005D6058">
      <w:pPr>
        <w:pStyle w:val="EDNormal"/>
        <w:rPr>
          <w:lang w:bidi="hi-IN"/>
        </w:rPr>
      </w:pPr>
    </w:p>
    <w:p w:rsidR="005D6058" w:rsidRPr="00913C54" w:rsidRDefault="006C2402" w:rsidP="00913C54">
      <w:pPr>
        <w:pStyle w:val="ED-H3"/>
        <w:rPr>
          <w:u w:val="single"/>
        </w:rPr>
      </w:pPr>
      <w:r>
        <w:rPr>
          <w:u w:val="single"/>
        </w:rPr>
        <w:t>No</w:t>
      </w:r>
      <w:r w:rsidR="00913C54" w:rsidRPr="00913C54">
        <w:rPr>
          <w:u w:val="single"/>
        </w:rPr>
        <w:t xml:space="preserve">. of </w:t>
      </w:r>
      <w:r w:rsidR="005D6058" w:rsidRPr="00913C54">
        <w:rPr>
          <w:u w:val="single"/>
        </w:rPr>
        <w:t>Consumers</w:t>
      </w:r>
    </w:p>
    <w:p w:rsidR="005D6058" w:rsidRPr="00374259" w:rsidRDefault="005D6058" w:rsidP="00913C54">
      <w:pPr>
        <w:pStyle w:val="ED-H3"/>
        <w:numPr>
          <w:ilvl w:val="0"/>
          <w:numId w:val="0"/>
        </w:numPr>
        <w:ind w:left="720"/>
        <w:jc w:val="left"/>
      </w:pPr>
      <w:r>
        <w:t xml:space="preserve">The actual number of Consumers in FY 2016-17 and FY 2017-18 is more than that estimated in MYT order for the control period. </w:t>
      </w:r>
    </w:p>
    <w:p w:rsidR="00041E40" w:rsidRDefault="00041E40" w:rsidP="00061AA6">
      <w:pPr>
        <w:pStyle w:val="Caption"/>
      </w:pPr>
      <w:bookmarkStart w:id="45" w:name="_Toc523719564"/>
      <w:r>
        <w:lastRenderedPageBreak/>
        <w:t xml:space="preserve">Table </w:t>
      </w:r>
      <w:r w:rsidR="00140E1B">
        <w:fldChar w:fldCharType="begin"/>
      </w:r>
      <w:r>
        <w:instrText xml:space="preserve"> SEQ Table \* ARABIC </w:instrText>
      </w:r>
      <w:r w:rsidR="00140E1B">
        <w:fldChar w:fldCharType="separate"/>
      </w:r>
      <w:r w:rsidR="004B7EE5">
        <w:rPr>
          <w:noProof/>
        </w:rPr>
        <w:t>5</w:t>
      </w:r>
      <w:r w:rsidR="00140E1B">
        <w:fldChar w:fldCharType="end"/>
      </w:r>
      <w:r>
        <w:t xml:space="preserve"> : No. of consumers in previous control period</w:t>
      </w:r>
      <w:bookmarkEnd w:id="45"/>
    </w:p>
    <w:p w:rsidR="006C2402" w:rsidRPr="006C2402" w:rsidRDefault="00053B6D" w:rsidP="006470C0">
      <w:pPr>
        <w:pStyle w:val="ED-H3"/>
        <w:numPr>
          <w:ilvl w:val="0"/>
          <w:numId w:val="0"/>
        </w:numPr>
        <w:jc w:val="left"/>
      </w:pPr>
      <w:r>
        <w:object w:dxaOrig="12172" w:dyaOrig="3510">
          <v:shape id="_x0000_i1029" type="#_x0000_t75" style="width:468.55pt;height:173pt" o:ole="">
            <v:imagedata r:id="rId22" o:title=""/>
          </v:shape>
          <o:OLEObject Type="Embed" ProgID="Excel.Sheet.12" ShapeID="_x0000_i1029" DrawAspect="Content" ObjectID="_1598429499" r:id="rId23"/>
        </w:object>
      </w:r>
    </w:p>
    <w:p w:rsidR="005B770B" w:rsidRDefault="005B770B" w:rsidP="00913C54">
      <w:pPr>
        <w:pStyle w:val="ED-H3"/>
        <w:rPr>
          <w:u w:val="single"/>
        </w:rPr>
      </w:pPr>
      <w:r>
        <w:rPr>
          <w:u w:val="single"/>
        </w:rPr>
        <w:t>Peak demand</w:t>
      </w:r>
    </w:p>
    <w:p w:rsidR="005B770B" w:rsidRPr="005B770B" w:rsidRDefault="005B770B" w:rsidP="005B770B">
      <w:pPr>
        <w:pStyle w:val="EDNormal"/>
        <w:rPr>
          <w:lang w:val="en-IN" w:bidi="hi-IN"/>
        </w:rPr>
      </w:pPr>
    </w:p>
    <w:p w:rsidR="005B770B" w:rsidRDefault="005B770B" w:rsidP="00061AA6">
      <w:pPr>
        <w:pStyle w:val="Caption"/>
      </w:pPr>
      <w:bookmarkStart w:id="46" w:name="_Toc523725618"/>
      <w:r>
        <w:t xml:space="preserve">Figure </w:t>
      </w:r>
      <w:r w:rsidR="00140E1B">
        <w:fldChar w:fldCharType="begin"/>
      </w:r>
      <w:r>
        <w:instrText xml:space="preserve"> SEQ Figure \* ARABIC </w:instrText>
      </w:r>
      <w:r w:rsidR="00140E1B">
        <w:fldChar w:fldCharType="separate"/>
      </w:r>
      <w:r w:rsidR="004B7EE5">
        <w:rPr>
          <w:noProof/>
        </w:rPr>
        <w:t>3</w:t>
      </w:r>
      <w:r w:rsidR="00140E1B">
        <w:fldChar w:fldCharType="end"/>
      </w:r>
      <w:r>
        <w:t>: Peak demand in FY 2016-17 (MW)</w:t>
      </w:r>
      <w:bookmarkEnd w:id="46"/>
    </w:p>
    <w:p w:rsidR="005B770B" w:rsidRDefault="005B770B" w:rsidP="005B770B">
      <w:pPr>
        <w:pStyle w:val="EDNormal"/>
        <w:jc w:val="center"/>
        <w:rPr>
          <w:lang w:val="en-IN" w:bidi="hi-IN"/>
        </w:rPr>
      </w:pPr>
      <w:r>
        <w:rPr>
          <w:noProof/>
          <w:lang w:val="en-US"/>
        </w:rPr>
        <w:drawing>
          <wp:inline distT="0" distB="0" distL="0" distR="0">
            <wp:extent cx="4572000" cy="1976439"/>
            <wp:effectExtent l="0" t="0" r="0" b="508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B770B" w:rsidRDefault="005B770B" w:rsidP="005B770B">
      <w:pPr>
        <w:pStyle w:val="EDNormal"/>
        <w:jc w:val="center"/>
        <w:rPr>
          <w:lang w:val="en-IN" w:bidi="hi-IN"/>
        </w:rPr>
      </w:pPr>
    </w:p>
    <w:p w:rsidR="005B770B" w:rsidRDefault="005B770B" w:rsidP="00061AA6">
      <w:pPr>
        <w:pStyle w:val="Caption"/>
      </w:pPr>
      <w:bookmarkStart w:id="47" w:name="_Toc523725619"/>
      <w:r>
        <w:t xml:space="preserve">Figure </w:t>
      </w:r>
      <w:r w:rsidR="00140E1B">
        <w:fldChar w:fldCharType="begin"/>
      </w:r>
      <w:r>
        <w:instrText xml:space="preserve"> SEQ Figure \* ARABIC </w:instrText>
      </w:r>
      <w:r w:rsidR="00140E1B">
        <w:fldChar w:fldCharType="separate"/>
      </w:r>
      <w:r w:rsidR="004B7EE5">
        <w:rPr>
          <w:noProof/>
        </w:rPr>
        <w:t>4</w:t>
      </w:r>
      <w:r w:rsidR="00140E1B">
        <w:fldChar w:fldCharType="end"/>
      </w:r>
      <w:r>
        <w:t>: Peak demand in FY 2017-18 (MW)</w:t>
      </w:r>
      <w:bookmarkEnd w:id="47"/>
    </w:p>
    <w:p w:rsidR="005B770B" w:rsidRDefault="005B770B" w:rsidP="005B770B">
      <w:pPr>
        <w:pStyle w:val="EDNormal"/>
        <w:jc w:val="center"/>
        <w:rPr>
          <w:lang w:val="en-IN" w:bidi="hi-IN"/>
        </w:rPr>
      </w:pPr>
      <w:r>
        <w:rPr>
          <w:noProof/>
          <w:lang w:val="en-US"/>
        </w:rPr>
        <w:drawing>
          <wp:inline distT="0" distB="0" distL="0" distR="0">
            <wp:extent cx="4572000" cy="1976438"/>
            <wp:effectExtent l="0" t="0" r="0" b="508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B770B" w:rsidRPr="005B770B" w:rsidRDefault="005B770B" w:rsidP="005B770B">
      <w:pPr>
        <w:pStyle w:val="EDNormal"/>
        <w:jc w:val="center"/>
        <w:rPr>
          <w:lang w:val="en-IN" w:bidi="hi-IN"/>
        </w:rPr>
      </w:pPr>
    </w:p>
    <w:p w:rsidR="005D6058" w:rsidRPr="00913C54" w:rsidRDefault="005D6058" w:rsidP="00913C54">
      <w:pPr>
        <w:pStyle w:val="ED-H3"/>
        <w:rPr>
          <w:u w:val="single"/>
        </w:rPr>
      </w:pPr>
      <w:r w:rsidRPr="00913C54">
        <w:rPr>
          <w:u w:val="single"/>
        </w:rPr>
        <w:t>Power Procurement Plan</w:t>
      </w:r>
    </w:p>
    <w:p w:rsidR="002F0A76" w:rsidRPr="001227FB" w:rsidRDefault="002F0A76" w:rsidP="002F0A76">
      <w:pPr>
        <w:pStyle w:val="ED-H3"/>
        <w:numPr>
          <w:ilvl w:val="0"/>
          <w:numId w:val="0"/>
        </w:numPr>
        <w:ind w:left="720"/>
      </w:pPr>
      <w:r>
        <w:t xml:space="preserve">Based on actual sales and energy requirement in FY 2016-17 and FY 2017-18, and revised projections in FY 2018-19, power procurement has been scheduled. Due to </w:t>
      </w:r>
      <w:r>
        <w:lastRenderedPageBreak/>
        <w:t xml:space="preserve">lower sales during the previous control period, power procurement as per actuals too is less than what was envisaged as per business plan for the previous control period. </w:t>
      </w:r>
    </w:p>
    <w:p w:rsidR="005D6058" w:rsidRDefault="005D6058" w:rsidP="005D6058">
      <w:pPr>
        <w:pStyle w:val="EDNormal"/>
        <w:rPr>
          <w:highlight w:val="yellow"/>
          <w:lang w:bidi="hi-IN"/>
        </w:rPr>
      </w:pPr>
    </w:p>
    <w:p w:rsidR="00041E40" w:rsidRDefault="00041E40" w:rsidP="00061AA6">
      <w:pPr>
        <w:pStyle w:val="Caption"/>
      </w:pPr>
      <w:bookmarkStart w:id="48" w:name="_Toc523719565"/>
      <w:r>
        <w:t xml:space="preserve">Table </w:t>
      </w:r>
      <w:r w:rsidR="00140E1B">
        <w:fldChar w:fldCharType="begin"/>
      </w:r>
      <w:r>
        <w:instrText xml:space="preserve"> SEQ Table \* ARABIC </w:instrText>
      </w:r>
      <w:r w:rsidR="00140E1B">
        <w:fldChar w:fldCharType="separate"/>
      </w:r>
      <w:r w:rsidR="004B7EE5">
        <w:rPr>
          <w:noProof/>
        </w:rPr>
        <w:t>6</w:t>
      </w:r>
      <w:r w:rsidR="00140E1B">
        <w:fldChar w:fldCharType="end"/>
      </w:r>
      <w:r>
        <w:t xml:space="preserve"> : Power procurement plan approved for previous control period</w:t>
      </w:r>
      <w:bookmarkEnd w:id="48"/>
    </w:p>
    <w:p w:rsidR="005D6058" w:rsidRDefault="00A63D57" w:rsidP="005D6058">
      <w:pPr>
        <w:pStyle w:val="EDNormal"/>
        <w:rPr>
          <w:lang w:bidi="hi-IN"/>
        </w:rPr>
      </w:pPr>
      <w:r>
        <w:rPr>
          <w:lang w:bidi="hi-IN"/>
        </w:rPr>
        <w:object w:dxaOrig="14181" w:dyaOrig="6434">
          <v:shape id="_x0000_i1030" type="#_x0000_t75" style="width:461pt;height:294.45pt" o:ole="">
            <v:imagedata r:id="rId26" o:title=""/>
          </v:shape>
          <o:OLEObject Type="Embed" ProgID="Excel.Sheet.12" ShapeID="_x0000_i1030" DrawAspect="Content" ObjectID="_1598429500" r:id="rId27"/>
        </w:object>
      </w:r>
    </w:p>
    <w:p w:rsidR="00041E40" w:rsidRDefault="00041E40" w:rsidP="00061AA6">
      <w:pPr>
        <w:pStyle w:val="Caption"/>
      </w:pPr>
      <w:bookmarkStart w:id="49" w:name="_Toc523719566"/>
      <w:r>
        <w:lastRenderedPageBreak/>
        <w:t xml:space="preserve">Table </w:t>
      </w:r>
      <w:r w:rsidR="00140E1B">
        <w:fldChar w:fldCharType="begin"/>
      </w:r>
      <w:r>
        <w:instrText xml:space="preserve"> SEQ Table \* ARABIC </w:instrText>
      </w:r>
      <w:r w:rsidR="00140E1B">
        <w:fldChar w:fldCharType="separate"/>
      </w:r>
      <w:r w:rsidR="004B7EE5">
        <w:rPr>
          <w:noProof/>
        </w:rPr>
        <w:t>7</w:t>
      </w:r>
      <w:r w:rsidR="00140E1B">
        <w:fldChar w:fldCharType="end"/>
      </w:r>
      <w:r>
        <w:t xml:space="preserve"> : Actual Power procurement in previous control period</w:t>
      </w:r>
      <w:bookmarkEnd w:id="49"/>
    </w:p>
    <w:p w:rsidR="0098412D" w:rsidRPr="002C281B" w:rsidRDefault="00735CAB" w:rsidP="005D6058">
      <w:pPr>
        <w:pStyle w:val="EDNormal"/>
        <w:jc w:val="center"/>
        <w:rPr>
          <w:b/>
        </w:rPr>
      </w:pPr>
      <w:r>
        <w:rPr>
          <w:lang w:bidi="hi-IN"/>
        </w:rPr>
        <w:object w:dxaOrig="14068" w:dyaOrig="6434">
          <v:shape id="_x0000_i1031" type="#_x0000_t75" style="width:454.55pt;height:294.45pt" o:ole="">
            <v:imagedata r:id="rId28" o:title=""/>
          </v:shape>
          <o:OLEObject Type="Embed" ProgID="Excel.Sheet.12" ShapeID="_x0000_i1031" DrawAspect="Content" ObjectID="_1598429501" r:id="rId29"/>
        </w:object>
      </w:r>
    </w:p>
    <w:p w:rsidR="005D6058" w:rsidRPr="00913C54" w:rsidRDefault="005D6058" w:rsidP="00913C54">
      <w:pPr>
        <w:pStyle w:val="ED-H3"/>
        <w:rPr>
          <w:u w:val="single"/>
        </w:rPr>
      </w:pPr>
      <w:r w:rsidRPr="00913C54">
        <w:rPr>
          <w:u w:val="single"/>
        </w:rPr>
        <w:t>O&amp;M Expenses</w:t>
      </w:r>
    </w:p>
    <w:p w:rsidR="005D6058" w:rsidRDefault="005D6058" w:rsidP="00632B65">
      <w:pPr>
        <w:pStyle w:val="ED-H3"/>
        <w:numPr>
          <w:ilvl w:val="0"/>
          <w:numId w:val="0"/>
        </w:numPr>
        <w:ind w:left="720"/>
      </w:pPr>
      <w:r>
        <w:t>Since O&amp;M is a controllable expense, the Commission in its true-up, review and ARR orders has maintained same figures as approved in MYT order for the control period for all controllable expenses. For expenses like actual Impact of 7</w:t>
      </w:r>
      <w:r w:rsidRPr="00DF53C1">
        <w:rPr>
          <w:vertAlign w:val="superscript"/>
        </w:rPr>
        <w:t>th</w:t>
      </w:r>
      <w:r>
        <w:t xml:space="preserve"> pay commission and </w:t>
      </w:r>
      <w:r w:rsidRPr="00DF53C1">
        <w:t>EESL annual payout towards DELP Charges</w:t>
      </w:r>
      <w:r>
        <w:t>, the Commission approved costs as per actuals.</w:t>
      </w:r>
    </w:p>
    <w:p w:rsidR="005D6058" w:rsidRDefault="005D6058" w:rsidP="005D6058">
      <w:pPr>
        <w:pStyle w:val="ED-H3"/>
        <w:numPr>
          <w:ilvl w:val="0"/>
          <w:numId w:val="0"/>
        </w:numPr>
        <w:ind w:left="720"/>
      </w:pPr>
    </w:p>
    <w:p w:rsidR="00041E40" w:rsidRDefault="00041E40" w:rsidP="00061AA6">
      <w:pPr>
        <w:pStyle w:val="Caption"/>
      </w:pPr>
      <w:bookmarkStart w:id="50" w:name="_Toc523719567"/>
      <w:r>
        <w:t xml:space="preserve">Table </w:t>
      </w:r>
      <w:r w:rsidR="00140E1B">
        <w:fldChar w:fldCharType="begin"/>
      </w:r>
      <w:r>
        <w:instrText xml:space="preserve"> SEQ Table \* ARABIC </w:instrText>
      </w:r>
      <w:r w:rsidR="00140E1B">
        <w:fldChar w:fldCharType="separate"/>
      </w:r>
      <w:r w:rsidR="004B7EE5">
        <w:rPr>
          <w:noProof/>
        </w:rPr>
        <w:t>8</w:t>
      </w:r>
      <w:r w:rsidR="00140E1B">
        <w:fldChar w:fldCharType="end"/>
      </w:r>
      <w:r>
        <w:t xml:space="preserve"> : O&amp;M Expenses in previous control period</w:t>
      </w:r>
      <w:bookmarkEnd w:id="50"/>
    </w:p>
    <w:p w:rsidR="005D6058" w:rsidRPr="002C281B" w:rsidRDefault="005D6058" w:rsidP="005D6058">
      <w:pPr>
        <w:pStyle w:val="EDNormal"/>
        <w:jc w:val="center"/>
        <w:rPr>
          <w:lang w:bidi="hi-IN"/>
        </w:rPr>
      </w:pPr>
      <w:r>
        <w:rPr>
          <w:lang w:bidi="hi-IN"/>
        </w:rPr>
        <w:object w:dxaOrig="11301" w:dyaOrig="1518">
          <v:shape id="_x0000_i1032" type="#_x0000_t75" style="width:454.55pt;height:78.45pt" o:ole="">
            <v:imagedata r:id="rId30" o:title=""/>
          </v:shape>
          <o:OLEObject Type="Embed" ProgID="Excel.Sheet.12" ShapeID="_x0000_i1032" DrawAspect="Content" ObjectID="_1598429502" r:id="rId31"/>
        </w:object>
      </w:r>
    </w:p>
    <w:bookmarkEnd w:id="40"/>
    <w:p w:rsidR="00337C5E" w:rsidRDefault="00A26A78" w:rsidP="005D6058">
      <w:pPr>
        <w:pStyle w:val="ED-H2"/>
        <w:rPr>
          <w:rFonts w:cs="Arial"/>
          <w:b w:val="0"/>
          <w:bCs w:val="0"/>
          <w:caps/>
          <w:kern w:val="32"/>
          <w:szCs w:val="32"/>
        </w:rPr>
      </w:pPr>
      <w:r>
        <w:br w:type="page"/>
      </w:r>
    </w:p>
    <w:p w:rsidR="00565C3C" w:rsidRPr="00256F62" w:rsidRDefault="00C031D6" w:rsidP="004F4F4E">
      <w:pPr>
        <w:pStyle w:val="ED-H1"/>
      </w:pPr>
      <w:bookmarkStart w:id="51" w:name="_Toc523724469"/>
      <w:r>
        <w:lastRenderedPageBreak/>
        <w:t>PED</w:t>
      </w:r>
      <w:r w:rsidR="00565C3C">
        <w:t>: POWER BUSINESS IN PUDUCHERRY</w:t>
      </w:r>
      <w:bookmarkEnd w:id="51"/>
    </w:p>
    <w:bookmarkEnd w:id="22"/>
    <w:p w:rsidR="0038146E" w:rsidRDefault="0038146E" w:rsidP="0038146E">
      <w:pPr>
        <w:pStyle w:val="EDNormal"/>
      </w:pPr>
    </w:p>
    <w:p w:rsidR="00337C5E" w:rsidRDefault="005D6CA0">
      <w:pPr>
        <w:pStyle w:val="ED-H2"/>
      </w:pPr>
      <w:bookmarkStart w:id="52" w:name="_Toc523724470"/>
      <w:r w:rsidRPr="004B4854">
        <w:t>Demographic Profile</w:t>
      </w:r>
      <w:bookmarkEnd w:id="52"/>
    </w:p>
    <w:p w:rsidR="00337C5E" w:rsidRDefault="007A363A">
      <w:pPr>
        <w:pStyle w:val="ED-H3"/>
      </w:pPr>
      <w:r w:rsidRPr="004B4854">
        <w:t xml:space="preserve">The Union Territory of Puducherry is spread over an area of 492 sq. km, which comprises the four erstwhile French establishments of Puducherry, Karaikal, Mahe and Yanam. The total population of the UT of Puducherry is 12,44,464 as per provisional results of Census 2011. </w:t>
      </w:r>
    </w:p>
    <w:p w:rsidR="007A363A" w:rsidRDefault="007A363A" w:rsidP="003E0E1E">
      <w:pPr>
        <w:pStyle w:val="ListParagraph"/>
        <w:numPr>
          <w:ilvl w:val="0"/>
          <w:numId w:val="6"/>
        </w:numPr>
      </w:pPr>
      <w:r>
        <w:t xml:space="preserve">Puducherry region, which is the largest of all four, lies on the east coast, consisting of 12 scattered areas, surrounded by the State of Tamil Nadu and by the Bay of Bengal on the East. </w:t>
      </w:r>
    </w:p>
    <w:p w:rsidR="007A363A" w:rsidRDefault="007A363A" w:rsidP="003E0E1E">
      <w:pPr>
        <w:pStyle w:val="ListParagraph"/>
        <w:numPr>
          <w:ilvl w:val="0"/>
          <w:numId w:val="6"/>
        </w:numPr>
      </w:pPr>
      <w:r>
        <w:t xml:space="preserve">Karaikal region is about 150 km South of Puducherry. Like Puducherry region, the Karaikal region is also surrounded by the State of Tamil Nadu and by the Bay of Bengal on the East. </w:t>
      </w:r>
    </w:p>
    <w:p w:rsidR="007A363A" w:rsidRDefault="007A363A" w:rsidP="003E0E1E">
      <w:pPr>
        <w:pStyle w:val="ListParagraph"/>
        <w:numPr>
          <w:ilvl w:val="0"/>
          <w:numId w:val="6"/>
        </w:numPr>
      </w:pPr>
      <w:r>
        <w:t xml:space="preserve">Yanam region is located approximately 840 km north-east of Puducherry near Kakinada in Andhra Pradesh. </w:t>
      </w:r>
    </w:p>
    <w:p w:rsidR="007A363A" w:rsidRDefault="007A363A" w:rsidP="003E0E1E">
      <w:pPr>
        <w:pStyle w:val="ListParagraph"/>
        <w:numPr>
          <w:ilvl w:val="0"/>
          <w:numId w:val="6"/>
        </w:numPr>
      </w:pPr>
      <w:r>
        <w:t xml:space="preserve">Mahe Region is located approximately 653 km away on the west coast of India, near Tellicherry in Kerala </w:t>
      </w:r>
    </w:p>
    <w:p w:rsidR="007A363A" w:rsidRDefault="007A363A" w:rsidP="00920ED1">
      <w:pPr>
        <w:pStyle w:val="EDNormal"/>
      </w:pPr>
    </w:p>
    <w:p w:rsidR="00337C5E" w:rsidRDefault="007A363A">
      <w:pPr>
        <w:pStyle w:val="ED-H3"/>
      </w:pPr>
      <w:r w:rsidRPr="004B4854">
        <w:t xml:space="preserve">Puducherry region is situated on the Coramandal Coast north of Pennaiyar River and is bounded by Bay of Bengal on the East and Cuddalore districts of Tamil Nadu on other sides. It has an area of 293 sq. </w:t>
      </w:r>
      <w:r w:rsidR="00FA4BED" w:rsidRPr="004B4854">
        <w:t>K</w:t>
      </w:r>
      <w:r w:rsidRPr="004B4854">
        <w:t>m</w:t>
      </w:r>
      <w:r w:rsidR="00FA4BED" w:rsidRPr="004B4854">
        <w:t xml:space="preserve"> and has the highest population of 950289 among the four regions</w:t>
      </w:r>
      <w:r w:rsidRPr="004B4854">
        <w:t xml:space="preserve">. Puducherry is not a contiguous area but interspersed with bits of territory of Tamil Nadu. Puducherry town is the capital of Union Territory. </w:t>
      </w:r>
    </w:p>
    <w:p w:rsidR="007A363A" w:rsidRPr="004B4854" w:rsidRDefault="007A363A" w:rsidP="00920ED1">
      <w:pPr>
        <w:pStyle w:val="EDNormal"/>
      </w:pPr>
    </w:p>
    <w:p w:rsidR="00337C5E" w:rsidRDefault="007A363A">
      <w:pPr>
        <w:pStyle w:val="ED-H3"/>
      </w:pPr>
      <w:r w:rsidRPr="004B4854">
        <w:t>Karaikal region lies 150 kilometres south of Puducherry and it is bounded on north, south and west by the Nagapattinam district of Tamil Nadu and on the east by Bay of Bengal. It has an area of 160 sq. km lying in the Cauvery Delta being irrigated by the canals of the Cauvery Riv</w:t>
      </w:r>
      <w:r w:rsidR="00FA4BED" w:rsidRPr="004B4854">
        <w:t>er. It has the second highest population among the four regions.</w:t>
      </w:r>
    </w:p>
    <w:p w:rsidR="007A363A" w:rsidRPr="004B4854" w:rsidRDefault="007A363A" w:rsidP="00920ED1">
      <w:pPr>
        <w:pStyle w:val="EDNormal"/>
      </w:pPr>
    </w:p>
    <w:p w:rsidR="00337C5E" w:rsidRDefault="007A363A">
      <w:pPr>
        <w:pStyle w:val="ED-H3"/>
      </w:pPr>
      <w:r w:rsidRPr="004B4854">
        <w:t>Mahe region is isolated from Puducherry by about 653 km and has an area of 9 sq. km and is located at a distance of about 6 km south of Tellichery town. Mahe town is situated on the southern bank of Mahe region</w:t>
      </w:r>
      <w:r w:rsidR="00DB6871" w:rsidRPr="004B4854">
        <w:t xml:space="preserve"> with</w:t>
      </w:r>
      <w:r w:rsidR="00896398" w:rsidRPr="004B4854">
        <w:t xml:space="preserve"> the smallest population of 42816</w:t>
      </w:r>
      <w:r w:rsidRPr="004B4854">
        <w:t xml:space="preserve">. </w:t>
      </w:r>
    </w:p>
    <w:p w:rsidR="007A363A" w:rsidRPr="004B4854" w:rsidRDefault="007A363A" w:rsidP="00920ED1">
      <w:pPr>
        <w:pStyle w:val="EDNormal"/>
      </w:pPr>
    </w:p>
    <w:p w:rsidR="00337C5E" w:rsidRPr="002D4DD1" w:rsidRDefault="007A363A">
      <w:pPr>
        <w:pStyle w:val="ED-H3"/>
      </w:pPr>
      <w:r w:rsidRPr="004B4854">
        <w:t xml:space="preserve">Yanam region is situated on the East coast as a pocket in the East Godavari District of Andhra Pradesh and Lies at a distance of 28 km south of Kakinada town. </w:t>
      </w:r>
      <w:r w:rsidR="00896398" w:rsidRPr="004B4854">
        <w:t>It has a</w:t>
      </w:r>
      <w:r w:rsidRPr="004B4854">
        <w:t xml:space="preserve"> population</w:t>
      </w:r>
      <w:r w:rsidR="00896398" w:rsidRPr="004B4854">
        <w:t xml:space="preserve"> of 55626 spread over</w:t>
      </w:r>
      <w:r w:rsidRPr="004B4854">
        <w:t xml:space="preserve"> an area of 30sq. km. Yanam is built on the spot </w:t>
      </w:r>
      <w:r w:rsidRPr="004B4854">
        <w:lastRenderedPageBreak/>
        <w:t xml:space="preserve">where </w:t>
      </w:r>
      <w:r w:rsidRPr="002D4DD1">
        <w:t>the rivers of Godavari and Coringa separate and is bounded on the east and south by one or the other of these two rivers.</w:t>
      </w:r>
    </w:p>
    <w:p w:rsidR="00920ED1" w:rsidRPr="002D4DD1" w:rsidRDefault="00920ED1" w:rsidP="00920ED1">
      <w:pPr>
        <w:pStyle w:val="EDNormal"/>
      </w:pPr>
    </w:p>
    <w:p w:rsidR="002D4DD1" w:rsidRPr="002D4DD1" w:rsidRDefault="00C55B99">
      <w:pPr>
        <w:pStyle w:val="ED-H3"/>
      </w:pPr>
      <w:r w:rsidRPr="002D4DD1">
        <w:t xml:space="preserve">The Electricity Department of Government of Puducherry </w:t>
      </w:r>
      <w:r w:rsidR="00F67298" w:rsidRPr="002D4DD1">
        <w:t>performs the functions o</w:t>
      </w:r>
      <w:r w:rsidR="005D6CA0" w:rsidRPr="002D4DD1">
        <w:t xml:space="preserve">f transmission and distribution </w:t>
      </w:r>
      <w:r w:rsidR="00F67298" w:rsidRPr="002D4DD1">
        <w:t>of electric power to the Union Territory</w:t>
      </w:r>
      <w:r w:rsidRPr="002D4DD1">
        <w:t xml:space="preserve"> of Puducherry</w:t>
      </w:r>
      <w:r w:rsidR="00F67298" w:rsidRPr="002D4DD1">
        <w:t xml:space="preserve">. </w:t>
      </w:r>
    </w:p>
    <w:p w:rsidR="002D4DD1" w:rsidRPr="002D4DD1" w:rsidRDefault="002D4DD1" w:rsidP="002D4DD1">
      <w:pPr>
        <w:pStyle w:val="ED-H3"/>
        <w:numPr>
          <w:ilvl w:val="0"/>
          <w:numId w:val="0"/>
        </w:numPr>
        <w:ind w:left="720"/>
      </w:pPr>
    </w:p>
    <w:p w:rsidR="00337C5E" w:rsidRPr="002D4DD1" w:rsidRDefault="002D4DD1" w:rsidP="002D4DD1">
      <w:pPr>
        <w:pStyle w:val="ED-H3"/>
      </w:pPr>
      <w:r w:rsidRPr="002D4DD1">
        <w:t>The entire power requirement of Puducherry is met from the power allocated from the Central Generating Stations (CGS), Tamil Nadu Electricity Board and from the Puducherry Power Corporation Limited.  Mahe region has been included under the regional energy accounting of Southern Region enabling to draw power from CGS w.e.f  04-12-2017. In respect of Karaikal region, power requirement is met by availing power from the State owned Combined Cycle Gas Power Plant of PPCL of capacity 32.5 MW at Karaikal and from TANGEDCO. However, it has already been proposed to avail power to Karaikal region from CGS on commissioning of the 230/110 KV Sub-stations at Karaikal and erection of 230 KV from Neyveli to Karaikal which are under execution. The work of erection of 230 KV line from Neyveli to Karaikal is covered under the System Strengthening Works of Southern Region and is being executed by the Power Grid Corporation of India. These works are expected to be completed and commissioned by December 2018. Further, the Government of India has made a power allocation of 57.24 MW from the New NLC Thermal Power Station which is expected to be commissioned by December 2018, in order to meet the power requirement of Karaikal region on de-commissioning of the old NLC Thermal Station-I, from which TANGEDCO is presently diverting power to Karaikal region at 110 KV level through Thiruvarur 230/110 KV Sub-station. SRPC has accorded approval for inclusion of Karaikal region under Regional Energy Accounting of Southern region and the same will be implemented once the required Sub-station and Transmission line works are completed, which is expected by December 2018.</w:t>
      </w:r>
    </w:p>
    <w:p w:rsidR="002D4DD1" w:rsidRDefault="002D4DD1" w:rsidP="002D4DD1">
      <w:pPr>
        <w:pStyle w:val="ED-H3"/>
        <w:numPr>
          <w:ilvl w:val="0"/>
          <w:numId w:val="0"/>
        </w:numPr>
      </w:pPr>
    </w:p>
    <w:p w:rsidR="00337C5E" w:rsidRDefault="0053438A">
      <w:pPr>
        <w:pStyle w:val="ED-H3"/>
      </w:pPr>
      <w:r w:rsidRPr="004B4854">
        <w:t>System Control Centre (SCC), which is a part of Electricity Department, interacts with Regional Load Dispatch Centre (RLDC) for optimum scheduling and dispatch of electricity. It monitors grid operation on real time basis and passes on necessary instructions to field staff to control flow of energy.</w:t>
      </w:r>
    </w:p>
    <w:p w:rsidR="0053438A" w:rsidRPr="004B4854" w:rsidRDefault="0053438A" w:rsidP="00920ED1">
      <w:pPr>
        <w:pStyle w:val="EDNormal"/>
      </w:pPr>
    </w:p>
    <w:p w:rsidR="00337C5E" w:rsidRDefault="00C031D6">
      <w:pPr>
        <w:pStyle w:val="ED-H3"/>
      </w:pPr>
      <w:r>
        <w:t>PED</w:t>
      </w:r>
      <w:r w:rsidR="00430243" w:rsidRPr="004B4854">
        <w:t xml:space="preserve"> currently serves a consumer base of around </w:t>
      </w:r>
      <w:r w:rsidR="00913C54">
        <w:t>4.65</w:t>
      </w:r>
      <w:r w:rsidR="00430243" w:rsidRPr="00436B27">
        <w:t xml:space="preserve"> lakh</w:t>
      </w:r>
      <w:r w:rsidR="00430243" w:rsidRPr="004B4854">
        <w:t xml:space="preserve"> spread over the four non-contiguous regions. </w:t>
      </w:r>
      <w:r w:rsidR="00C55B99" w:rsidRPr="004B4854">
        <w:t>T</w:t>
      </w:r>
      <w:r w:rsidR="00430243" w:rsidRPr="004B4854">
        <w:t xml:space="preserve">he Department has a mix </w:t>
      </w:r>
      <w:r w:rsidR="00C55B99" w:rsidRPr="004B4854">
        <w:t>of</w:t>
      </w:r>
      <w:r w:rsidR="00430243" w:rsidRPr="004B4854">
        <w:t xml:space="preserve"> domestic</w:t>
      </w:r>
      <w:r w:rsidR="00C55B99" w:rsidRPr="004B4854">
        <w:t>, commercial,</w:t>
      </w:r>
      <w:r w:rsidR="001D5F46" w:rsidRPr="004B4854">
        <w:t xml:space="preserve"> agriculture, </w:t>
      </w:r>
      <w:r w:rsidR="00C55B99" w:rsidRPr="004B4854">
        <w:t>industrial</w:t>
      </w:r>
      <w:r w:rsidR="00430243" w:rsidRPr="004B4854">
        <w:t xml:space="preserve"> and HT industrial consumers.</w:t>
      </w:r>
    </w:p>
    <w:p w:rsidR="00337C5E" w:rsidRDefault="00ED73A6" w:rsidP="00061AA6">
      <w:pPr>
        <w:pStyle w:val="Caption"/>
        <w:rPr>
          <w:rFonts w:eastAsia="Calibri"/>
        </w:rPr>
      </w:pPr>
      <w:bookmarkStart w:id="53" w:name="_Toc523725620"/>
      <w:r>
        <w:lastRenderedPageBreak/>
        <w:t xml:space="preserve">Figure </w:t>
      </w:r>
      <w:r w:rsidR="00140E1B">
        <w:fldChar w:fldCharType="begin"/>
      </w:r>
      <w:r w:rsidR="00C94F42">
        <w:instrText xml:space="preserve"> SEQ Figure \* ARABIC </w:instrText>
      </w:r>
      <w:r w:rsidR="00140E1B">
        <w:fldChar w:fldCharType="separate"/>
      </w:r>
      <w:r w:rsidR="004B7EE5">
        <w:rPr>
          <w:noProof/>
        </w:rPr>
        <w:t>5</w:t>
      </w:r>
      <w:r w:rsidR="00140E1B">
        <w:rPr>
          <w:noProof/>
        </w:rPr>
        <w:fldChar w:fldCharType="end"/>
      </w:r>
      <w:r w:rsidR="00EE66CB" w:rsidRPr="004B4854">
        <w:rPr>
          <w:rFonts w:eastAsia="Calibri"/>
        </w:rPr>
        <w:t>: Category-wise Number of Consumers for 201</w:t>
      </w:r>
      <w:r w:rsidR="006A1597">
        <w:rPr>
          <w:rFonts w:eastAsia="Calibri"/>
        </w:rPr>
        <w:t>6-17</w:t>
      </w:r>
      <w:bookmarkEnd w:id="53"/>
    </w:p>
    <w:p w:rsidR="00EE66CB" w:rsidRDefault="00451D74" w:rsidP="00EE66CB">
      <w:pPr>
        <w:jc w:val="center"/>
      </w:pPr>
      <w:r>
        <w:rPr>
          <w:noProof/>
          <w:lang w:val="en-US"/>
        </w:rPr>
        <w:drawing>
          <wp:inline distT="0" distB="0" distL="0" distR="0">
            <wp:extent cx="5733415" cy="4156364"/>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E66CB" w:rsidRDefault="00EE66CB" w:rsidP="00EE66CB">
      <w:pPr>
        <w:ind w:firstLine="720"/>
        <w:jc w:val="left"/>
        <w:rPr>
          <w:i/>
        </w:rPr>
      </w:pPr>
      <w:r w:rsidRPr="00EE66CB">
        <w:rPr>
          <w:i/>
        </w:rPr>
        <w:t>Source: Puducherry Electricity Department</w:t>
      </w:r>
    </w:p>
    <w:p w:rsidR="00D31FF5" w:rsidRDefault="00D31FF5" w:rsidP="00EE66CB">
      <w:pPr>
        <w:ind w:firstLine="720"/>
        <w:jc w:val="left"/>
        <w:rPr>
          <w:i/>
        </w:rPr>
      </w:pPr>
    </w:p>
    <w:p w:rsidR="00337C5E" w:rsidRDefault="00920ED1">
      <w:pPr>
        <w:pStyle w:val="ED-H2"/>
      </w:pPr>
      <w:bookmarkStart w:id="54" w:name="_Toc523724471"/>
      <w:r w:rsidRPr="00B646E0">
        <w:rPr>
          <w:lang w:val="en-GB"/>
        </w:rPr>
        <w:t>Distribution Infrastructure</w:t>
      </w:r>
      <w:bookmarkEnd w:id="54"/>
    </w:p>
    <w:p w:rsidR="00337C5E" w:rsidRDefault="00C031D6">
      <w:pPr>
        <w:pStyle w:val="ED-H3"/>
      </w:pPr>
      <w:r>
        <w:t>PED</w:t>
      </w:r>
      <w:r w:rsidR="00F67298" w:rsidRPr="004B4854">
        <w:t xml:space="preserve"> opera</w:t>
      </w:r>
      <w:r w:rsidR="00B36C3D">
        <w:t>tes a transmission network of 230 kV &amp; 11</w:t>
      </w:r>
      <w:r w:rsidR="00F67298" w:rsidRPr="004B4854">
        <w:t xml:space="preserve">0 kV and distribution network at 33 </w:t>
      </w:r>
      <w:r w:rsidR="00D95CE5" w:rsidRPr="004B4854">
        <w:t>kV, 22 kV, 11 kV and</w:t>
      </w:r>
      <w:r w:rsidR="00B36C3D">
        <w:t xml:space="preserve">at </w:t>
      </w:r>
      <w:r w:rsidR="00F67298" w:rsidRPr="004B4854">
        <w:t>LT levels.</w:t>
      </w:r>
      <w:r w:rsidR="00D95CE5" w:rsidRPr="004B4854">
        <w:t>It supplies power to consumer through its</w:t>
      </w:r>
      <w:r w:rsidR="00425D9F">
        <w:t>18</w:t>
      </w:r>
      <w:r w:rsidR="00B36C3D">
        <w:t xml:space="preserve">EHV </w:t>
      </w:r>
      <w:r w:rsidR="00D95CE5" w:rsidRPr="004B4854">
        <w:t xml:space="preserve">substations, </w:t>
      </w:r>
      <w:r w:rsidR="00057B81">
        <w:t>489</w:t>
      </w:r>
      <w:r w:rsidR="00D95CE5" w:rsidRPr="004B4854">
        <w:t xml:space="preserve"> km of </w:t>
      </w:r>
      <w:r w:rsidR="00B36C3D">
        <w:t>E</w:t>
      </w:r>
      <w:r w:rsidR="00D95CE5" w:rsidRPr="004B4854">
        <w:t>HT line,</w:t>
      </w:r>
      <w:r w:rsidR="00057B81">
        <w:t>2294</w:t>
      </w:r>
      <w:r w:rsidR="00B36C3D">
        <w:t>km of HT line,</w:t>
      </w:r>
      <w:r w:rsidR="006C1AD4">
        <w:t>2</w:t>
      </w:r>
      <w:r w:rsidR="00057B81">
        <w:t>877</w:t>
      </w:r>
      <w:r w:rsidR="00B36C3D">
        <w:t xml:space="preserve">nos of </w:t>
      </w:r>
      <w:r w:rsidR="00050296" w:rsidRPr="004B4854">
        <w:t>distribution transformer</w:t>
      </w:r>
      <w:r w:rsidR="00B36C3D">
        <w:t>s</w:t>
      </w:r>
      <w:r w:rsidR="00050296" w:rsidRPr="004B4854">
        <w:t xml:space="preserve"> and </w:t>
      </w:r>
      <w:r w:rsidR="006F3B4B">
        <w:t>3</w:t>
      </w:r>
      <w:r w:rsidR="00057B81">
        <w:t>845</w:t>
      </w:r>
      <w:r w:rsidR="00D95CE5" w:rsidRPr="004B4854">
        <w:t xml:space="preserve"> km of LT line. </w:t>
      </w:r>
      <w:r>
        <w:t>PED</w:t>
      </w:r>
      <w:r w:rsidR="00D95CE5" w:rsidRPr="004B4854">
        <w:t xml:space="preserve"> has also gone for </w:t>
      </w:r>
      <w:r w:rsidR="00057B81">
        <w:t>90</w:t>
      </w:r>
      <w:r w:rsidR="00050296" w:rsidRPr="004B4854">
        <w:t xml:space="preserve"> km of HT and</w:t>
      </w:r>
      <w:r w:rsidR="00057B81">
        <w:t>53</w:t>
      </w:r>
      <w:r w:rsidR="006F3B4B">
        <w:t>5</w:t>
      </w:r>
      <w:r w:rsidR="00D95CE5" w:rsidRPr="004B4854">
        <w:t xml:space="preserve"> km of LT underg</w:t>
      </w:r>
      <w:r w:rsidR="00B36C3D">
        <w:t>round cabling of certain urban</w:t>
      </w:r>
      <w:r w:rsidR="00D95CE5" w:rsidRPr="004B4854">
        <w:t xml:space="preserve"> areas.</w:t>
      </w:r>
    </w:p>
    <w:p w:rsidR="009916BC" w:rsidRPr="009916BC" w:rsidRDefault="009916BC" w:rsidP="009916BC">
      <w:pPr>
        <w:pStyle w:val="EDNormal"/>
      </w:pPr>
    </w:p>
    <w:p w:rsidR="00337C5E" w:rsidRDefault="00F67298">
      <w:pPr>
        <w:pStyle w:val="ED-H3"/>
      </w:pPr>
      <w:r w:rsidRPr="004B4854">
        <w:t>The network conf</w:t>
      </w:r>
      <w:r w:rsidR="006F3B4B">
        <w:t xml:space="preserve">iguration as on </w:t>
      </w:r>
      <w:r w:rsidR="00057B81">
        <w:t>August</w:t>
      </w:r>
      <w:r w:rsidR="00F17A33">
        <w:t>, 201</w:t>
      </w:r>
      <w:r w:rsidR="00057B81">
        <w:t>8</w:t>
      </w:r>
      <w:r w:rsidRPr="004B4854">
        <w:t xml:space="preserve"> is as given below</w:t>
      </w:r>
      <w:r w:rsidR="00971145" w:rsidRPr="004B4854">
        <w:t>:</w:t>
      </w:r>
      <w:bookmarkStart w:id="55" w:name="_Ref346715372"/>
    </w:p>
    <w:p w:rsidR="00D31FF5" w:rsidRPr="00D31FF5" w:rsidRDefault="00D31FF5" w:rsidP="00D31FF5">
      <w:pPr>
        <w:pStyle w:val="EDNormal"/>
        <w:rPr>
          <w:lang w:val="en-IN" w:bidi="hi-IN"/>
        </w:rPr>
      </w:pPr>
    </w:p>
    <w:p w:rsidR="00337C5E" w:rsidRDefault="00ED73A6" w:rsidP="00061AA6">
      <w:pPr>
        <w:pStyle w:val="Caption"/>
        <w:rPr>
          <w:rFonts w:eastAsia="Calibri"/>
        </w:rPr>
      </w:pPr>
      <w:bookmarkStart w:id="56" w:name="_Toc523719568"/>
      <w:r>
        <w:t xml:space="preserve">Table </w:t>
      </w:r>
      <w:r w:rsidR="00140E1B">
        <w:fldChar w:fldCharType="begin"/>
      </w:r>
      <w:r w:rsidR="00C94F42">
        <w:instrText xml:space="preserve"> SEQ Table \* ARABIC </w:instrText>
      </w:r>
      <w:r w:rsidR="00140E1B">
        <w:fldChar w:fldCharType="separate"/>
      </w:r>
      <w:r w:rsidR="004B7EE5">
        <w:rPr>
          <w:noProof/>
        </w:rPr>
        <w:t>9</w:t>
      </w:r>
      <w:r w:rsidR="00140E1B">
        <w:rPr>
          <w:noProof/>
        </w:rPr>
        <w:fldChar w:fldCharType="end"/>
      </w:r>
      <w:r w:rsidR="00B134EE">
        <w:rPr>
          <w:rFonts w:eastAsia="Calibri"/>
        </w:rPr>
        <w:t>:</w:t>
      </w:r>
      <w:r w:rsidR="00F67298" w:rsidRPr="00B134EE">
        <w:rPr>
          <w:rFonts w:eastAsia="Calibri"/>
        </w:rPr>
        <w:t xml:space="preserve"> Network Conf</w:t>
      </w:r>
      <w:r w:rsidR="006F3B4B">
        <w:rPr>
          <w:rFonts w:eastAsia="Calibri"/>
        </w:rPr>
        <w:t>iguration (as on</w:t>
      </w:r>
      <w:r w:rsidR="00057B81">
        <w:rPr>
          <w:rFonts w:eastAsia="Calibri"/>
        </w:rPr>
        <w:t>August</w:t>
      </w:r>
      <w:r w:rsidR="00325B6F" w:rsidRPr="00B134EE">
        <w:rPr>
          <w:rFonts w:eastAsia="Calibri"/>
        </w:rPr>
        <w:t xml:space="preserve"> 201</w:t>
      </w:r>
      <w:r w:rsidR="00057B81">
        <w:rPr>
          <w:rFonts w:eastAsia="Calibri"/>
        </w:rPr>
        <w:t>8</w:t>
      </w:r>
      <w:r w:rsidR="00F67298" w:rsidRPr="00B134EE">
        <w:rPr>
          <w:rFonts w:eastAsia="Calibri"/>
        </w:rPr>
        <w:t>)</w:t>
      </w:r>
      <w:bookmarkEnd w:id="56"/>
    </w:p>
    <w:tbl>
      <w:tblPr>
        <w:tblW w:w="4889" w:type="pct"/>
        <w:tblLayout w:type="fixed"/>
        <w:tblLook w:val="04A0"/>
      </w:tblPr>
      <w:tblGrid>
        <w:gridCol w:w="2005"/>
        <w:gridCol w:w="1649"/>
        <w:gridCol w:w="2255"/>
        <w:gridCol w:w="1417"/>
        <w:gridCol w:w="1714"/>
      </w:tblGrid>
      <w:tr w:rsidR="00E32CE0" w:rsidRPr="00E32CE0" w:rsidTr="00E80398">
        <w:trPr>
          <w:trHeight w:val="20"/>
          <w:tblHeader/>
        </w:trPr>
        <w:tc>
          <w:tcPr>
            <w:tcW w:w="1109" w:type="pct"/>
            <w:tcBorders>
              <w:top w:val="single" w:sz="4" w:space="0" w:color="auto"/>
              <w:left w:val="single" w:sz="8" w:space="0" w:color="auto"/>
              <w:bottom w:val="single" w:sz="4" w:space="0" w:color="auto"/>
              <w:right w:val="single" w:sz="4" w:space="0" w:color="auto"/>
            </w:tcBorders>
            <w:shd w:val="clear" w:color="000000" w:fill="ACB9CA"/>
            <w:vAlign w:val="center"/>
            <w:hideMark/>
          </w:tcPr>
          <w:p w:rsidR="00E32CE0" w:rsidRPr="00E32CE0" w:rsidRDefault="00E32CE0" w:rsidP="00E32CE0">
            <w:pPr>
              <w:spacing w:line="240" w:lineRule="auto"/>
              <w:jc w:val="center"/>
              <w:rPr>
                <w:color w:val="FFFFFF"/>
                <w:lang w:val="en-IN" w:eastAsia="en-IN"/>
              </w:rPr>
            </w:pPr>
            <w:r w:rsidRPr="00E32CE0">
              <w:rPr>
                <w:color w:val="FFFFFF"/>
                <w:lang w:val="en-IN" w:eastAsia="en-IN"/>
              </w:rPr>
              <w:t> </w:t>
            </w:r>
          </w:p>
        </w:tc>
        <w:tc>
          <w:tcPr>
            <w:tcW w:w="912" w:type="pct"/>
            <w:tcBorders>
              <w:top w:val="single" w:sz="4" w:space="0" w:color="auto"/>
              <w:left w:val="nil"/>
              <w:bottom w:val="single" w:sz="4" w:space="0" w:color="auto"/>
              <w:right w:val="single" w:sz="4" w:space="0" w:color="auto"/>
            </w:tcBorders>
            <w:shd w:val="clear" w:color="000000" w:fill="ACB9CA"/>
            <w:vAlign w:val="center"/>
            <w:hideMark/>
          </w:tcPr>
          <w:p w:rsidR="00E32CE0" w:rsidRPr="00E32CE0" w:rsidRDefault="00E32CE0" w:rsidP="00E32CE0">
            <w:pPr>
              <w:spacing w:line="240" w:lineRule="auto"/>
              <w:jc w:val="center"/>
              <w:rPr>
                <w:b/>
                <w:bCs/>
                <w:sz w:val="22"/>
                <w:szCs w:val="22"/>
                <w:lang w:val="en-IN" w:eastAsia="en-IN"/>
              </w:rPr>
            </w:pPr>
            <w:r w:rsidRPr="00E32CE0">
              <w:rPr>
                <w:b/>
                <w:bCs/>
                <w:sz w:val="22"/>
                <w:szCs w:val="22"/>
                <w:lang w:val="en-IN" w:eastAsia="en-IN"/>
              </w:rPr>
              <w:t>Line Details</w:t>
            </w:r>
          </w:p>
        </w:tc>
        <w:tc>
          <w:tcPr>
            <w:tcW w:w="2979" w:type="pct"/>
            <w:gridSpan w:val="3"/>
            <w:tcBorders>
              <w:top w:val="single" w:sz="4" w:space="0" w:color="auto"/>
              <w:left w:val="nil"/>
              <w:bottom w:val="single" w:sz="4" w:space="0" w:color="auto"/>
              <w:right w:val="single" w:sz="8" w:space="0" w:color="000000"/>
            </w:tcBorders>
            <w:shd w:val="clear" w:color="000000" w:fill="ACB9CA"/>
            <w:vAlign w:val="center"/>
            <w:hideMark/>
          </w:tcPr>
          <w:p w:rsidR="00E32CE0" w:rsidRPr="00E32CE0" w:rsidRDefault="00E32CE0" w:rsidP="00E32CE0">
            <w:pPr>
              <w:spacing w:line="240" w:lineRule="auto"/>
              <w:jc w:val="center"/>
              <w:rPr>
                <w:b/>
                <w:bCs/>
                <w:sz w:val="22"/>
                <w:szCs w:val="22"/>
                <w:lang w:val="en-IN" w:eastAsia="en-IN"/>
              </w:rPr>
            </w:pPr>
            <w:r w:rsidRPr="00E32CE0">
              <w:rPr>
                <w:b/>
                <w:bCs/>
                <w:sz w:val="22"/>
                <w:szCs w:val="22"/>
                <w:lang w:val="en-IN" w:eastAsia="en-IN"/>
              </w:rPr>
              <w:t>Sub-Station Details</w:t>
            </w:r>
          </w:p>
        </w:tc>
      </w:tr>
      <w:tr w:rsidR="00E32CE0" w:rsidRPr="00E32CE0" w:rsidTr="00C3408E">
        <w:trPr>
          <w:trHeight w:val="20"/>
          <w:tblHeader/>
        </w:trPr>
        <w:tc>
          <w:tcPr>
            <w:tcW w:w="1109" w:type="pct"/>
            <w:vMerge w:val="restart"/>
            <w:tcBorders>
              <w:top w:val="nil"/>
              <w:left w:val="single" w:sz="8" w:space="0" w:color="auto"/>
              <w:bottom w:val="single" w:sz="4" w:space="0" w:color="auto"/>
              <w:right w:val="single" w:sz="4" w:space="0" w:color="auto"/>
            </w:tcBorders>
            <w:shd w:val="clear" w:color="000000" w:fill="ACB9CA"/>
            <w:vAlign w:val="center"/>
            <w:hideMark/>
          </w:tcPr>
          <w:p w:rsidR="00E32CE0" w:rsidRPr="00E32CE0" w:rsidRDefault="00E32CE0" w:rsidP="00E32CE0">
            <w:pPr>
              <w:spacing w:line="240" w:lineRule="auto"/>
              <w:jc w:val="center"/>
              <w:rPr>
                <w:b/>
                <w:bCs/>
                <w:color w:val="000000"/>
                <w:sz w:val="22"/>
                <w:szCs w:val="22"/>
                <w:lang w:val="en-IN" w:eastAsia="en-IN"/>
              </w:rPr>
            </w:pPr>
            <w:r w:rsidRPr="00E32CE0">
              <w:rPr>
                <w:b/>
                <w:bCs/>
                <w:color w:val="000000"/>
                <w:sz w:val="22"/>
                <w:szCs w:val="22"/>
                <w:lang w:val="en-IN" w:eastAsia="en-IN"/>
              </w:rPr>
              <w:t>Voltage</w:t>
            </w:r>
          </w:p>
        </w:tc>
        <w:tc>
          <w:tcPr>
            <w:tcW w:w="912" w:type="pct"/>
            <w:tcBorders>
              <w:top w:val="nil"/>
              <w:left w:val="nil"/>
              <w:bottom w:val="single" w:sz="4" w:space="0" w:color="auto"/>
              <w:right w:val="single" w:sz="4" w:space="0" w:color="auto"/>
            </w:tcBorders>
            <w:shd w:val="clear" w:color="000000" w:fill="ACB9CA"/>
            <w:vAlign w:val="center"/>
            <w:hideMark/>
          </w:tcPr>
          <w:p w:rsidR="00E32CE0" w:rsidRPr="00E32CE0" w:rsidRDefault="00E32CE0" w:rsidP="00E32CE0">
            <w:pPr>
              <w:spacing w:line="240" w:lineRule="auto"/>
              <w:jc w:val="center"/>
              <w:rPr>
                <w:b/>
                <w:bCs/>
                <w:color w:val="000000"/>
                <w:sz w:val="22"/>
                <w:szCs w:val="22"/>
                <w:lang w:val="en-IN" w:eastAsia="en-IN"/>
              </w:rPr>
            </w:pPr>
            <w:r w:rsidRPr="00E32CE0">
              <w:rPr>
                <w:b/>
                <w:bCs/>
                <w:color w:val="000000"/>
                <w:sz w:val="22"/>
                <w:szCs w:val="22"/>
                <w:lang w:val="en-IN" w:eastAsia="en-IN"/>
              </w:rPr>
              <w:t>Lines</w:t>
            </w:r>
          </w:p>
        </w:tc>
        <w:tc>
          <w:tcPr>
            <w:tcW w:w="1247" w:type="pct"/>
            <w:tcBorders>
              <w:top w:val="nil"/>
              <w:left w:val="nil"/>
              <w:bottom w:val="single" w:sz="4" w:space="0" w:color="auto"/>
              <w:right w:val="single" w:sz="4" w:space="0" w:color="auto"/>
            </w:tcBorders>
            <w:shd w:val="clear" w:color="000000" w:fill="ACB9CA"/>
            <w:vAlign w:val="center"/>
            <w:hideMark/>
          </w:tcPr>
          <w:p w:rsidR="00E32CE0" w:rsidRPr="00E32CE0" w:rsidRDefault="00E32CE0" w:rsidP="00E32CE0">
            <w:pPr>
              <w:spacing w:line="240" w:lineRule="auto"/>
              <w:jc w:val="center"/>
              <w:rPr>
                <w:b/>
                <w:bCs/>
                <w:color w:val="000000"/>
                <w:sz w:val="22"/>
                <w:szCs w:val="22"/>
                <w:lang w:val="en-IN" w:eastAsia="en-IN"/>
              </w:rPr>
            </w:pPr>
            <w:r w:rsidRPr="00E32CE0">
              <w:rPr>
                <w:b/>
                <w:bCs/>
                <w:color w:val="000000"/>
                <w:sz w:val="22"/>
                <w:szCs w:val="22"/>
                <w:lang w:val="en-IN" w:eastAsia="en-IN"/>
              </w:rPr>
              <w:t>Capacity MVA</w:t>
            </w:r>
          </w:p>
        </w:tc>
        <w:tc>
          <w:tcPr>
            <w:tcW w:w="784" w:type="pct"/>
            <w:tcBorders>
              <w:top w:val="nil"/>
              <w:left w:val="nil"/>
              <w:bottom w:val="single" w:sz="4" w:space="0" w:color="auto"/>
              <w:right w:val="single" w:sz="4" w:space="0" w:color="auto"/>
            </w:tcBorders>
            <w:shd w:val="clear" w:color="000000" w:fill="ACB9CA"/>
            <w:vAlign w:val="center"/>
            <w:hideMark/>
          </w:tcPr>
          <w:p w:rsidR="00E32CE0" w:rsidRPr="00E32CE0" w:rsidRDefault="00E32CE0" w:rsidP="00E32CE0">
            <w:pPr>
              <w:spacing w:line="240" w:lineRule="auto"/>
              <w:jc w:val="center"/>
              <w:rPr>
                <w:b/>
                <w:bCs/>
                <w:color w:val="000000"/>
                <w:sz w:val="22"/>
                <w:szCs w:val="22"/>
                <w:lang w:val="en-IN" w:eastAsia="en-IN"/>
              </w:rPr>
            </w:pPr>
            <w:r w:rsidRPr="00E32CE0">
              <w:rPr>
                <w:b/>
                <w:bCs/>
                <w:color w:val="000000"/>
                <w:sz w:val="22"/>
                <w:szCs w:val="22"/>
                <w:lang w:val="en-IN" w:eastAsia="en-IN"/>
              </w:rPr>
              <w:t>Substations</w:t>
            </w:r>
          </w:p>
        </w:tc>
        <w:tc>
          <w:tcPr>
            <w:tcW w:w="948" w:type="pct"/>
            <w:tcBorders>
              <w:top w:val="nil"/>
              <w:left w:val="nil"/>
              <w:bottom w:val="single" w:sz="4" w:space="0" w:color="auto"/>
              <w:right w:val="single" w:sz="8" w:space="0" w:color="auto"/>
            </w:tcBorders>
            <w:shd w:val="clear" w:color="000000" w:fill="ACB9CA"/>
            <w:vAlign w:val="center"/>
            <w:hideMark/>
          </w:tcPr>
          <w:p w:rsidR="00E32CE0" w:rsidRPr="00E32CE0" w:rsidRDefault="00E32CE0" w:rsidP="00E32CE0">
            <w:pPr>
              <w:spacing w:line="240" w:lineRule="auto"/>
              <w:jc w:val="center"/>
              <w:rPr>
                <w:b/>
                <w:bCs/>
                <w:color w:val="000000"/>
                <w:sz w:val="22"/>
                <w:szCs w:val="22"/>
                <w:lang w:val="en-IN" w:eastAsia="en-IN"/>
              </w:rPr>
            </w:pPr>
            <w:r w:rsidRPr="00E32CE0">
              <w:rPr>
                <w:b/>
                <w:bCs/>
                <w:color w:val="000000"/>
                <w:sz w:val="22"/>
                <w:szCs w:val="22"/>
                <w:lang w:val="en-IN" w:eastAsia="en-IN"/>
              </w:rPr>
              <w:t>Transformation Capacity</w:t>
            </w:r>
          </w:p>
        </w:tc>
      </w:tr>
      <w:tr w:rsidR="00E32CE0" w:rsidRPr="00E32CE0" w:rsidTr="00C3408E">
        <w:trPr>
          <w:trHeight w:val="20"/>
          <w:tblHeader/>
        </w:trPr>
        <w:tc>
          <w:tcPr>
            <w:tcW w:w="1109" w:type="pct"/>
            <w:vMerge/>
            <w:tcBorders>
              <w:top w:val="nil"/>
              <w:left w:val="single" w:sz="8" w:space="0" w:color="auto"/>
              <w:bottom w:val="single" w:sz="4" w:space="0" w:color="auto"/>
              <w:right w:val="single" w:sz="4" w:space="0" w:color="auto"/>
            </w:tcBorders>
            <w:vAlign w:val="center"/>
            <w:hideMark/>
          </w:tcPr>
          <w:p w:rsidR="00E32CE0" w:rsidRPr="00E32CE0" w:rsidRDefault="00E32CE0" w:rsidP="00E32CE0">
            <w:pPr>
              <w:spacing w:line="240" w:lineRule="auto"/>
              <w:jc w:val="left"/>
              <w:rPr>
                <w:b/>
                <w:bCs/>
                <w:color w:val="000000"/>
                <w:sz w:val="22"/>
                <w:szCs w:val="22"/>
                <w:lang w:val="en-IN" w:eastAsia="en-IN"/>
              </w:rPr>
            </w:pPr>
          </w:p>
        </w:tc>
        <w:tc>
          <w:tcPr>
            <w:tcW w:w="912" w:type="pct"/>
            <w:tcBorders>
              <w:top w:val="nil"/>
              <w:left w:val="nil"/>
              <w:bottom w:val="single" w:sz="4" w:space="0" w:color="auto"/>
              <w:right w:val="single" w:sz="4" w:space="0" w:color="auto"/>
            </w:tcBorders>
            <w:shd w:val="clear" w:color="000000" w:fill="ACB9CA"/>
            <w:vAlign w:val="center"/>
            <w:hideMark/>
          </w:tcPr>
          <w:p w:rsidR="00E32CE0" w:rsidRPr="00E32CE0" w:rsidRDefault="00E32CE0" w:rsidP="00E32CE0">
            <w:pPr>
              <w:spacing w:line="240" w:lineRule="auto"/>
              <w:jc w:val="center"/>
              <w:rPr>
                <w:b/>
                <w:bCs/>
                <w:color w:val="000000"/>
                <w:sz w:val="22"/>
                <w:szCs w:val="22"/>
                <w:lang w:val="en-IN" w:eastAsia="en-IN"/>
              </w:rPr>
            </w:pPr>
            <w:r w:rsidRPr="00E32CE0">
              <w:rPr>
                <w:b/>
                <w:bCs/>
                <w:color w:val="000000"/>
                <w:sz w:val="22"/>
                <w:szCs w:val="22"/>
                <w:lang w:val="en-IN" w:eastAsia="en-IN"/>
              </w:rPr>
              <w:t>(Km)</w:t>
            </w:r>
          </w:p>
        </w:tc>
        <w:tc>
          <w:tcPr>
            <w:tcW w:w="1247" w:type="pct"/>
            <w:tcBorders>
              <w:top w:val="nil"/>
              <w:left w:val="nil"/>
              <w:bottom w:val="single" w:sz="4" w:space="0" w:color="auto"/>
              <w:right w:val="single" w:sz="4" w:space="0" w:color="auto"/>
            </w:tcBorders>
            <w:shd w:val="clear" w:color="000000" w:fill="ACB9CA"/>
            <w:vAlign w:val="center"/>
            <w:hideMark/>
          </w:tcPr>
          <w:p w:rsidR="00E32CE0" w:rsidRPr="00E32CE0" w:rsidRDefault="00E32CE0" w:rsidP="00E32CE0">
            <w:pPr>
              <w:spacing w:line="240" w:lineRule="auto"/>
              <w:jc w:val="center"/>
              <w:rPr>
                <w:b/>
                <w:bCs/>
                <w:color w:val="000000"/>
                <w:sz w:val="22"/>
                <w:szCs w:val="22"/>
                <w:lang w:val="en-IN" w:eastAsia="en-IN"/>
              </w:rPr>
            </w:pPr>
            <w:r w:rsidRPr="00E32CE0">
              <w:rPr>
                <w:b/>
                <w:bCs/>
                <w:color w:val="000000"/>
                <w:sz w:val="22"/>
                <w:szCs w:val="22"/>
                <w:lang w:val="en-IN" w:eastAsia="en-IN"/>
              </w:rPr>
              <w:t>(MVA)</w:t>
            </w:r>
          </w:p>
        </w:tc>
        <w:tc>
          <w:tcPr>
            <w:tcW w:w="784" w:type="pct"/>
            <w:tcBorders>
              <w:top w:val="nil"/>
              <w:left w:val="nil"/>
              <w:bottom w:val="single" w:sz="4" w:space="0" w:color="auto"/>
              <w:right w:val="single" w:sz="4" w:space="0" w:color="auto"/>
            </w:tcBorders>
            <w:shd w:val="clear" w:color="000000" w:fill="ACB9CA"/>
            <w:vAlign w:val="center"/>
            <w:hideMark/>
          </w:tcPr>
          <w:p w:rsidR="00E32CE0" w:rsidRPr="00E32CE0" w:rsidRDefault="00E32CE0" w:rsidP="00E32CE0">
            <w:pPr>
              <w:spacing w:line="240" w:lineRule="auto"/>
              <w:jc w:val="center"/>
              <w:rPr>
                <w:b/>
                <w:bCs/>
                <w:color w:val="000000"/>
                <w:sz w:val="22"/>
                <w:szCs w:val="22"/>
                <w:lang w:val="en-IN" w:eastAsia="en-IN"/>
              </w:rPr>
            </w:pPr>
            <w:r w:rsidRPr="00E32CE0">
              <w:rPr>
                <w:b/>
                <w:bCs/>
                <w:color w:val="000000"/>
                <w:sz w:val="22"/>
                <w:szCs w:val="22"/>
                <w:lang w:val="en-IN" w:eastAsia="en-IN"/>
              </w:rPr>
              <w:t>(Nos)</w:t>
            </w:r>
          </w:p>
        </w:tc>
        <w:tc>
          <w:tcPr>
            <w:tcW w:w="948" w:type="pct"/>
            <w:tcBorders>
              <w:top w:val="nil"/>
              <w:left w:val="nil"/>
              <w:bottom w:val="single" w:sz="4" w:space="0" w:color="auto"/>
              <w:right w:val="single" w:sz="8" w:space="0" w:color="auto"/>
            </w:tcBorders>
            <w:shd w:val="clear" w:color="000000" w:fill="ACB9CA"/>
            <w:vAlign w:val="center"/>
            <w:hideMark/>
          </w:tcPr>
          <w:p w:rsidR="00E32CE0" w:rsidRPr="00E32CE0" w:rsidRDefault="00E32CE0" w:rsidP="00E32CE0">
            <w:pPr>
              <w:spacing w:line="240" w:lineRule="auto"/>
              <w:jc w:val="center"/>
              <w:rPr>
                <w:b/>
                <w:bCs/>
                <w:color w:val="000000"/>
                <w:sz w:val="22"/>
                <w:szCs w:val="22"/>
                <w:lang w:val="en-IN" w:eastAsia="en-IN"/>
              </w:rPr>
            </w:pPr>
            <w:r w:rsidRPr="00E32CE0">
              <w:rPr>
                <w:b/>
                <w:bCs/>
                <w:color w:val="000000"/>
                <w:sz w:val="22"/>
                <w:szCs w:val="22"/>
                <w:lang w:val="en-IN" w:eastAsia="en-IN"/>
              </w:rPr>
              <w:t>(MVA)</w:t>
            </w:r>
          </w:p>
        </w:tc>
      </w:tr>
      <w:tr w:rsidR="00E32CE0" w:rsidRPr="00E32CE0" w:rsidTr="009A6247">
        <w:trPr>
          <w:trHeight w:val="20"/>
        </w:trPr>
        <w:tc>
          <w:tcPr>
            <w:tcW w:w="5000" w:type="pct"/>
            <w:gridSpan w:val="5"/>
            <w:tcBorders>
              <w:top w:val="single" w:sz="4" w:space="0" w:color="auto"/>
              <w:left w:val="single" w:sz="8" w:space="0" w:color="auto"/>
              <w:bottom w:val="single" w:sz="4" w:space="0" w:color="auto"/>
              <w:right w:val="single" w:sz="8" w:space="0" w:color="000000"/>
            </w:tcBorders>
            <w:shd w:val="clear" w:color="000000" w:fill="F8CBAD"/>
            <w:vAlign w:val="center"/>
            <w:hideMark/>
          </w:tcPr>
          <w:p w:rsidR="00E32CE0" w:rsidRPr="00E32CE0" w:rsidRDefault="00E32CE0" w:rsidP="00E32CE0">
            <w:pPr>
              <w:spacing w:line="240" w:lineRule="auto"/>
              <w:jc w:val="left"/>
              <w:rPr>
                <w:b/>
                <w:bCs/>
                <w:color w:val="000000"/>
                <w:sz w:val="22"/>
                <w:szCs w:val="22"/>
                <w:lang w:val="en-IN" w:eastAsia="en-IN"/>
              </w:rPr>
            </w:pPr>
            <w:r w:rsidRPr="00E32CE0">
              <w:rPr>
                <w:b/>
                <w:bCs/>
                <w:color w:val="000000"/>
                <w:sz w:val="22"/>
                <w:szCs w:val="22"/>
                <w:lang w:val="en-IN" w:eastAsia="en-IN"/>
              </w:rPr>
              <w:t xml:space="preserve">Transmission </w:t>
            </w:r>
          </w:p>
        </w:tc>
      </w:tr>
      <w:tr w:rsidR="00E32CE0" w:rsidRPr="00E32CE0" w:rsidTr="009A6247">
        <w:trPr>
          <w:trHeight w:val="20"/>
        </w:trPr>
        <w:tc>
          <w:tcPr>
            <w:tcW w:w="1109" w:type="pct"/>
            <w:tcBorders>
              <w:top w:val="nil"/>
              <w:left w:val="single" w:sz="8" w:space="0" w:color="auto"/>
              <w:bottom w:val="single" w:sz="4" w:space="0" w:color="auto"/>
              <w:right w:val="single" w:sz="4" w:space="0" w:color="auto"/>
            </w:tcBorders>
            <w:shd w:val="clear" w:color="000000" w:fill="FFFFFF"/>
            <w:vAlign w:val="center"/>
            <w:hideMark/>
          </w:tcPr>
          <w:p w:rsidR="00E32CE0" w:rsidRPr="00E32CE0" w:rsidRDefault="00E32CE0" w:rsidP="00E32CE0">
            <w:pPr>
              <w:spacing w:line="240" w:lineRule="auto"/>
              <w:jc w:val="left"/>
              <w:rPr>
                <w:color w:val="000000"/>
                <w:sz w:val="22"/>
                <w:szCs w:val="22"/>
                <w:lang w:val="en-IN" w:eastAsia="en-IN"/>
              </w:rPr>
            </w:pPr>
            <w:r w:rsidRPr="00E32CE0">
              <w:rPr>
                <w:color w:val="000000"/>
                <w:sz w:val="22"/>
                <w:szCs w:val="22"/>
                <w:lang w:val="en-IN" w:eastAsia="en-IN"/>
              </w:rPr>
              <w:t xml:space="preserve">230 kV/110kV </w:t>
            </w:r>
          </w:p>
        </w:tc>
        <w:tc>
          <w:tcPr>
            <w:tcW w:w="912" w:type="pct"/>
            <w:tcBorders>
              <w:top w:val="nil"/>
              <w:left w:val="nil"/>
              <w:bottom w:val="single" w:sz="4" w:space="0" w:color="auto"/>
              <w:right w:val="single" w:sz="4" w:space="0" w:color="auto"/>
            </w:tcBorders>
            <w:shd w:val="clear" w:color="000000" w:fill="FFFFFF"/>
            <w:vAlign w:val="center"/>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171</w:t>
            </w:r>
          </w:p>
        </w:tc>
        <w:tc>
          <w:tcPr>
            <w:tcW w:w="1247" w:type="pct"/>
            <w:tcBorders>
              <w:top w:val="nil"/>
              <w:left w:val="nil"/>
              <w:bottom w:val="single" w:sz="4" w:space="0" w:color="auto"/>
              <w:right w:val="single" w:sz="4" w:space="0" w:color="auto"/>
            </w:tcBorders>
            <w:shd w:val="clear" w:color="auto" w:fill="auto"/>
            <w:vAlign w:val="center"/>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4x100+2x80</w:t>
            </w:r>
          </w:p>
        </w:tc>
        <w:tc>
          <w:tcPr>
            <w:tcW w:w="784" w:type="pct"/>
            <w:tcBorders>
              <w:top w:val="nil"/>
              <w:left w:val="nil"/>
              <w:bottom w:val="single" w:sz="4" w:space="0" w:color="auto"/>
              <w:right w:val="single" w:sz="4" w:space="0" w:color="auto"/>
            </w:tcBorders>
            <w:shd w:val="clear" w:color="000000" w:fill="FFFFFF"/>
            <w:vAlign w:val="center"/>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3</w:t>
            </w:r>
          </w:p>
        </w:tc>
        <w:tc>
          <w:tcPr>
            <w:tcW w:w="948" w:type="pct"/>
            <w:tcBorders>
              <w:top w:val="nil"/>
              <w:left w:val="nil"/>
              <w:bottom w:val="single" w:sz="4" w:space="0" w:color="auto"/>
              <w:right w:val="single" w:sz="8" w:space="0" w:color="auto"/>
            </w:tcBorders>
            <w:shd w:val="clear" w:color="000000" w:fill="FFFFFF"/>
            <w:vAlign w:val="center"/>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560</w:t>
            </w:r>
          </w:p>
        </w:tc>
      </w:tr>
      <w:tr w:rsidR="00E32CE0" w:rsidRPr="00E32CE0" w:rsidTr="009A6247">
        <w:trPr>
          <w:trHeight w:val="20"/>
        </w:trPr>
        <w:tc>
          <w:tcPr>
            <w:tcW w:w="1109" w:type="pct"/>
            <w:tcBorders>
              <w:top w:val="nil"/>
              <w:left w:val="single" w:sz="8" w:space="0" w:color="auto"/>
              <w:bottom w:val="single" w:sz="4" w:space="0" w:color="auto"/>
              <w:right w:val="single" w:sz="4" w:space="0" w:color="auto"/>
            </w:tcBorders>
            <w:shd w:val="clear" w:color="000000" w:fill="FFFFFF"/>
            <w:vAlign w:val="center"/>
            <w:hideMark/>
          </w:tcPr>
          <w:p w:rsidR="00E32CE0" w:rsidRPr="00E32CE0" w:rsidRDefault="00E32CE0" w:rsidP="00E32CE0">
            <w:pPr>
              <w:spacing w:line="240" w:lineRule="auto"/>
              <w:jc w:val="left"/>
              <w:rPr>
                <w:color w:val="000000"/>
                <w:sz w:val="22"/>
                <w:szCs w:val="22"/>
                <w:lang w:val="en-IN" w:eastAsia="en-IN"/>
              </w:rPr>
            </w:pPr>
            <w:r w:rsidRPr="00E32CE0">
              <w:rPr>
                <w:color w:val="000000"/>
                <w:sz w:val="22"/>
                <w:szCs w:val="22"/>
                <w:lang w:val="en-IN" w:eastAsia="en-IN"/>
              </w:rPr>
              <w:t xml:space="preserve">132 kV/33-11 kV </w:t>
            </w:r>
          </w:p>
        </w:tc>
        <w:tc>
          <w:tcPr>
            <w:tcW w:w="912" w:type="pct"/>
            <w:tcBorders>
              <w:top w:val="nil"/>
              <w:left w:val="nil"/>
              <w:bottom w:val="single" w:sz="4" w:space="0" w:color="auto"/>
              <w:right w:val="single" w:sz="4" w:space="0" w:color="auto"/>
            </w:tcBorders>
            <w:shd w:val="clear" w:color="000000" w:fill="FFFFFF"/>
            <w:vAlign w:val="center"/>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42</w:t>
            </w:r>
          </w:p>
        </w:tc>
        <w:tc>
          <w:tcPr>
            <w:tcW w:w="1247" w:type="pct"/>
            <w:tcBorders>
              <w:top w:val="nil"/>
              <w:left w:val="nil"/>
              <w:bottom w:val="single" w:sz="4" w:space="0" w:color="auto"/>
              <w:right w:val="single" w:sz="4" w:space="0" w:color="auto"/>
            </w:tcBorders>
            <w:shd w:val="clear" w:color="auto" w:fill="auto"/>
            <w:noWrap/>
            <w:vAlign w:val="center"/>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1x16+2x10</w:t>
            </w:r>
          </w:p>
        </w:tc>
        <w:tc>
          <w:tcPr>
            <w:tcW w:w="784" w:type="pct"/>
            <w:tcBorders>
              <w:top w:val="nil"/>
              <w:left w:val="nil"/>
              <w:bottom w:val="single" w:sz="4" w:space="0" w:color="auto"/>
              <w:right w:val="single" w:sz="4" w:space="0" w:color="auto"/>
            </w:tcBorders>
            <w:shd w:val="clear" w:color="000000" w:fill="FFFFFF"/>
            <w:vAlign w:val="center"/>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1</w:t>
            </w:r>
          </w:p>
        </w:tc>
        <w:tc>
          <w:tcPr>
            <w:tcW w:w="948" w:type="pct"/>
            <w:tcBorders>
              <w:top w:val="nil"/>
              <w:left w:val="nil"/>
              <w:bottom w:val="single" w:sz="4" w:space="0" w:color="auto"/>
              <w:right w:val="single" w:sz="8" w:space="0" w:color="auto"/>
            </w:tcBorders>
            <w:shd w:val="clear" w:color="000000" w:fill="FFFFFF"/>
            <w:vAlign w:val="center"/>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36</w:t>
            </w:r>
          </w:p>
        </w:tc>
      </w:tr>
      <w:tr w:rsidR="00E32CE0" w:rsidRPr="00E32CE0" w:rsidTr="009A6247">
        <w:trPr>
          <w:trHeight w:val="20"/>
        </w:trPr>
        <w:tc>
          <w:tcPr>
            <w:tcW w:w="1109" w:type="pct"/>
            <w:tcBorders>
              <w:top w:val="nil"/>
              <w:left w:val="single" w:sz="8" w:space="0" w:color="auto"/>
              <w:bottom w:val="single" w:sz="4" w:space="0" w:color="auto"/>
              <w:right w:val="single" w:sz="4" w:space="0" w:color="auto"/>
            </w:tcBorders>
            <w:shd w:val="clear" w:color="000000" w:fill="FFFFFF"/>
            <w:vAlign w:val="center"/>
            <w:hideMark/>
          </w:tcPr>
          <w:p w:rsidR="00E32CE0" w:rsidRPr="00E32CE0" w:rsidRDefault="00E32CE0" w:rsidP="00E32CE0">
            <w:pPr>
              <w:spacing w:line="240" w:lineRule="auto"/>
              <w:jc w:val="left"/>
              <w:rPr>
                <w:color w:val="000000"/>
                <w:sz w:val="22"/>
                <w:szCs w:val="22"/>
                <w:lang w:val="en-IN" w:eastAsia="en-IN"/>
              </w:rPr>
            </w:pPr>
            <w:r w:rsidRPr="00E32CE0">
              <w:rPr>
                <w:color w:val="000000"/>
                <w:sz w:val="22"/>
                <w:szCs w:val="22"/>
                <w:lang w:val="en-IN" w:eastAsia="en-IN"/>
              </w:rPr>
              <w:t>110 kV/22-11 kV</w:t>
            </w:r>
          </w:p>
        </w:tc>
        <w:tc>
          <w:tcPr>
            <w:tcW w:w="912" w:type="pct"/>
            <w:tcBorders>
              <w:top w:val="nil"/>
              <w:left w:val="nil"/>
              <w:bottom w:val="single" w:sz="4" w:space="0" w:color="auto"/>
              <w:right w:val="single" w:sz="4" w:space="0" w:color="auto"/>
            </w:tcBorders>
            <w:shd w:val="clear" w:color="000000" w:fill="FFFFFF"/>
            <w:vAlign w:val="center"/>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269</w:t>
            </w:r>
          </w:p>
        </w:tc>
        <w:tc>
          <w:tcPr>
            <w:tcW w:w="1247" w:type="pct"/>
            <w:vMerge w:val="restart"/>
            <w:tcBorders>
              <w:top w:val="nil"/>
              <w:left w:val="single" w:sz="4" w:space="0" w:color="auto"/>
              <w:bottom w:val="single" w:sz="4" w:space="0" w:color="000000"/>
              <w:right w:val="single" w:sz="4" w:space="0" w:color="auto"/>
            </w:tcBorders>
            <w:shd w:val="clear" w:color="auto" w:fill="auto"/>
            <w:vAlign w:val="center"/>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3x16+1x25+2x31.5+2x16+2x25+16x16+7x10</w:t>
            </w:r>
            <w:r w:rsidRPr="00E32CE0">
              <w:rPr>
                <w:color w:val="000000"/>
                <w:sz w:val="22"/>
                <w:szCs w:val="22"/>
                <w:lang w:val="en-IN" w:eastAsia="en-IN"/>
              </w:rPr>
              <w:lastRenderedPageBreak/>
              <w:t>+5x16+2x10</w:t>
            </w:r>
          </w:p>
        </w:tc>
        <w:tc>
          <w:tcPr>
            <w:tcW w:w="78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lastRenderedPageBreak/>
              <w:t>14</w:t>
            </w:r>
          </w:p>
        </w:tc>
        <w:tc>
          <w:tcPr>
            <w:tcW w:w="948" w:type="pct"/>
            <w:vMerge w:val="restart"/>
            <w:tcBorders>
              <w:top w:val="nil"/>
              <w:left w:val="single" w:sz="4" w:space="0" w:color="auto"/>
              <w:bottom w:val="single" w:sz="4" w:space="0" w:color="000000"/>
              <w:right w:val="single" w:sz="8" w:space="0" w:color="auto"/>
            </w:tcBorders>
            <w:shd w:val="clear" w:color="000000" w:fill="FFFFFF"/>
            <w:vAlign w:val="center"/>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644</w:t>
            </w:r>
          </w:p>
        </w:tc>
      </w:tr>
      <w:tr w:rsidR="00E32CE0" w:rsidRPr="00E32CE0" w:rsidTr="009A6247">
        <w:trPr>
          <w:trHeight w:val="20"/>
        </w:trPr>
        <w:tc>
          <w:tcPr>
            <w:tcW w:w="1109" w:type="pct"/>
            <w:tcBorders>
              <w:top w:val="nil"/>
              <w:left w:val="single" w:sz="8" w:space="0" w:color="auto"/>
              <w:bottom w:val="single" w:sz="4" w:space="0" w:color="auto"/>
              <w:right w:val="single" w:sz="4" w:space="0" w:color="auto"/>
            </w:tcBorders>
            <w:shd w:val="clear" w:color="000000" w:fill="FFFFFF"/>
            <w:noWrap/>
            <w:vAlign w:val="center"/>
            <w:hideMark/>
          </w:tcPr>
          <w:p w:rsidR="00E32CE0" w:rsidRPr="00E32CE0" w:rsidRDefault="00E32CE0" w:rsidP="00E32CE0">
            <w:pPr>
              <w:spacing w:line="240" w:lineRule="auto"/>
              <w:jc w:val="left"/>
              <w:rPr>
                <w:color w:val="000000"/>
                <w:sz w:val="22"/>
                <w:szCs w:val="22"/>
                <w:lang w:val="en-IN" w:eastAsia="en-IN"/>
              </w:rPr>
            </w:pPr>
            <w:r w:rsidRPr="00E32CE0">
              <w:rPr>
                <w:color w:val="000000"/>
                <w:sz w:val="22"/>
                <w:szCs w:val="22"/>
                <w:lang w:val="en-IN" w:eastAsia="en-IN"/>
              </w:rPr>
              <w:t xml:space="preserve">110 kV/22-11 kV </w:t>
            </w:r>
            <w:r w:rsidRPr="00E32CE0">
              <w:rPr>
                <w:color w:val="000000"/>
                <w:sz w:val="22"/>
                <w:szCs w:val="22"/>
                <w:lang w:val="en-IN" w:eastAsia="en-IN"/>
              </w:rPr>
              <w:lastRenderedPageBreak/>
              <w:t>(UG Cable)</w:t>
            </w:r>
          </w:p>
        </w:tc>
        <w:tc>
          <w:tcPr>
            <w:tcW w:w="912" w:type="pct"/>
            <w:tcBorders>
              <w:top w:val="nil"/>
              <w:left w:val="nil"/>
              <w:bottom w:val="single" w:sz="4" w:space="0" w:color="auto"/>
              <w:right w:val="single" w:sz="4" w:space="0" w:color="auto"/>
            </w:tcBorders>
            <w:shd w:val="clear" w:color="000000" w:fill="FFFFFF"/>
            <w:vAlign w:val="center"/>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lastRenderedPageBreak/>
              <w:t>7</w:t>
            </w:r>
          </w:p>
        </w:tc>
        <w:tc>
          <w:tcPr>
            <w:tcW w:w="1247" w:type="pct"/>
            <w:vMerge/>
            <w:tcBorders>
              <w:top w:val="nil"/>
              <w:left w:val="single" w:sz="4" w:space="0" w:color="auto"/>
              <w:bottom w:val="single" w:sz="4" w:space="0" w:color="000000"/>
              <w:right w:val="single" w:sz="4" w:space="0" w:color="auto"/>
            </w:tcBorders>
            <w:vAlign w:val="center"/>
            <w:hideMark/>
          </w:tcPr>
          <w:p w:rsidR="00E32CE0" w:rsidRPr="00E32CE0" w:rsidRDefault="00E32CE0" w:rsidP="00E32CE0">
            <w:pPr>
              <w:spacing w:line="240" w:lineRule="auto"/>
              <w:jc w:val="left"/>
              <w:rPr>
                <w:color w:val="000000"/>
                <w:sz w:val="22"/>
                <w:szCs w:val="22"/>
                <w:lang w:val="en-IN" w:eastAsia="en-IN"/>
              </w:rPr>
            </w:pPr>
          </w:p>
        </w:tc>
        <w:tc>
          <w:tcPr>
            <w:tcW w:w="784" w:type="pct"/>
            <w:vMerge/>
            <w:tcBorders>
              <w:top w:val="nil"/>
              <w:left w:val="single" w:sz="4" w:space="0" w:color="auto"/>
              <w:bottom w:val="single" w:sz="4" w:space="0" w:color="000000"/>
              <w:right w:val="single" w:sz="4" w:space="0" w:color="auto"/>
            </w:tcBorders>
            <w:vAlign w:val="center"/>
            <w:hideMark/>
          </w:tcPr>
          <w:p w:rsidR="00E32CE0" w:rsidRPr="00E32CE0" w:rsidRDefault="00E32CE0" w:rsidP="00E32CE0">
            <w:pPr>
              <w:spacing w:line="240" w:lineRule="auto"/>
              <w:jc w:val="left"/>
              <w:rPr>
                <w:color w:val="000000"/>
                <w:sz w:val="22"/>
                <w:szCs w:val="22"/>
                <w:lang w:val="en-IN" w:eastAsia="en-IN"/>
              </w:rPr>
            </w:pPr>
          </w:p>
        </w:tc>
        <w:tc>
          <w:tcPr>
            <w:tcW w:w="948" w:type="pct"/>
            <w:vMerge/>
            <w:tcBorders>
              <w:top w:val="nil"/>
              <w:left w:val="single" w:sz="4" w:space="0" w:color="auto"/>
              <w:bottom w:val="single" w:sz="4" w:space="0" w:color="000000"/>
              <w:right w:val="single" w:sz="8" w:space="0" w:color="auto"/>
            </w:tcBorders>
            <w:vAlign w:val="center"/>
            <w:hideMark/>
          </w:tcPr>
          <w:p w:rsidR="00E32CE0" w:rsidRPr="00E32CE0" w:rsidRDefault="00E32CE0" w:rsidP="00E32CE0">
            <w:pPr>
              <w:spacing w:line="240" w:lineRule="auto"/>
              <w:jc w:val="left"/>
              <w:rPr>
                <w:color w:val="000000"/>
                <w:sz w:val="22"/>
                <w:szCs w:val="22"/>
                <w:lang w:val="en-IN" w:eastAsia="en-IN"/>
              </w:rPr>
            </w:pPr>
          </w:p>
        </w:tc>
      </w:tr>
      <w:tr w:rsidR="00E32CE0" w:rsidRPr="00E32CE0" w:rsidTr="009A6247">
        <w:trPr>
          <w:trHeight w:val="20"/>
        </w:trPr>
        <w:tc>
          <w:tcPr>
            <w:tcW w:w="5000" w:type="pct"/>
            <w:gridSpan w:val="5"/>
            <w:tcBorders>
              <w:top w:val="single" w:sz="4" w:space="0" w:color="auto"/>
              <w:left w:val="single" w:sz="8" w:space="0" w:color="auto"/>
              <w:bottom w:val="single" w:sz="4" w:space="0" w:color="auto"/>
              <w:right w:val="single" w:sz="8" w:space="0" w:color="000000"/>
            </w:tcBorders>
            <w:shd w:val="clear" w:color="000000" w:fill="F8CBAD"/>
            <w:vAlign w:val="center"/>
            <w:hideMark/>
          </w:tcPr>
          <w:p w:rsidR="00E32CE0" w:rsidRPr="00E32CE0" w:rsidRDefault="00E32CE0" w:rsidP="00E32CE0">
            <w:pPr>
              <w:spacing w:line="240" w:lineRule="auto"/>
              <w:jc w:val="left"/>
              <w:rPr>
                <w:b/>
                <w:bCs/>
                <w:color w:val="000000"/>
                <w:sz w:val="22"/>
                <w:szCs w:val="22"/>
                <w:lang w:val="en-IN" w:eastAsia="en-IN"/>
              </w:rPr>
            </w:pPr>
            <w:r w:rsidRPr="00E32CE0">
              <w:rPr>
                <w:b/>
                <w:bCs/>
                <w:color w:val="000000"/>
                <w:sz w:val="22"/>
                <w:szCs w:val="22"/>
                <w:lang w:val="en-IN" w:eastAsia="en-IN"/>
              </w:rPr>
              <w:lastRenderedPageBreak/>
              <w:t xml:space="preserve">Distribution </w:t>
            </w:r>
          </w:p>
        </w:tc>
      </w:tr>
      <w:tr w:rsidR="00E32CE0" w:rsidRPr="00E32CE0" w:rsidTr="009A6247">
        <w:trPr>
          <w:trHeight w:val="20"/>
        </w:trPr>
        <w:tc>
          <w:tcPr>
            <w:tcW w:w="1109" w:type="pct"/>
            <w:tcBorders>
              <w:top w:val="nil"/>
              <w:left w:val="single" w:sz="8" w:space="0" w:color="auto"/>
              <w:bottom w:val="single" w:sz="4" w:space="0" w:color="auto"/>
              <w:right w:val="single" w:sz="4" w:space="0" w:color="auto"/>
            </w:tcBorders>
            <w:shd w:val="clear" w:color="000000" w:fill="FFFFFF"/>
            <w:vAlign w:val="center"/>
            <w:hideMark/>
          </w:tcPr>
          <w:p w:rsidR="00E32CE0" w:rsidRPr="00E32CE0" w:rsidRDefault="00E32CE0" w:rsidP="00E32CE0">
            <w:pPr>
              <w:spacing w:line="240" w:lineRule="auto"/>
              <w:jc w:val="left"/>
              <w:rPr>
                <w:color w:val="000000"/>
                <w:sz w:val="22"/>
                <w:szCs w:val="22"/>
                <w:lang w:val="en-IN" w:eastAsia="en-IN"/>
              </w:rPr>
            </w:pPr>
            <w:r w:rsidRPr="00E32CE0">
              <w:rPr>
                <w:color w:val="000000"/>
                <w:sz w:val="22"/>
                <w:szCs w:val="22"/>
                <w:lang w:val="en-IN" w:eastAsia="en-IN"/>
              </w:rPr>
              <w:t xml:space="preserve">33/11kV </w:t>
            </w:r>
          </w:p>
        </w:tc>
        <w:tc>
          <w:tcPr>
            <w:tcW w:w="912" w:type="pct"/>
            <w:tcBorders>
              <w:top w:val="nil"/>
              <w:left w:val="nil"/>
              <w:bottom w:val="single" w:sz="4" w:space="0" w:color="auto"/>
              <w:right w:val="single" w:sz="4" w:space="0" w:color="auto"/>
            </w:tcBorders>
            <w:shd w:val="clear" w:color="000000" w:fill="FFFFFF"/>
            <w:vAlign w:val="center"/>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19</w:t>
            </w:r>
          </w:p>
        </w:tc>
        <w:tc>
          <w:tcPr>
            <w:tcW w:w="1247" w:type="pct"/>
            <w:tcBorders>
              <w:top w:val="nil"/>
              <w:left w:val="nil"/>
              <w:bottom w:val="single" w:sz="4" w:space="0" w:color="auto"/>
              <w:right w:val="single" w:sz="4" w:space="0" w:color="auto"/>
            </w:tcBorders>
            <w:shd w:val="clear" w:color="auto" w:fill="auto"/>
            <w:noWrap/>
            <w:vAlign w:val="center"/>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2x5</w:t>
            </w:r>
          </w:p>
        </w:tc>
        <w:tc>
          <w:tcPr>
            <w:tcW w:w="784" w:type="pct"/>
            <w:tcBorders>
              <w:top w:val="nil"/>
              <w:left w:val="nil"/>
              <w:bottom w:val="single" w:sz="4" w:space="0" w:color="auto"/>
              <w:right w:val="single" w:sz="4" w:space="0" w:color="auto"/>
            </w:tcBorders>
            <w:shd w:val="clear" w:color="000000" w:fill="FFFFFF"/>
            <w:vAlign w:val="center"/>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1</w:t>
            </w:r>
          </w:p>
        </w:tc>
        <w:tc>
          <w:tcPr>
            <w:tcW w:w="948" w:type="pct"/>
            <w:tcBorders>
              <w:top w:val="nil"/>
              <w:left w:val="nil"/>
              <w:bottom w:val="single" w:sz="4" w:space="0" w:color="auto"/>
              <w:right w:val="single" w:sz="8" w:space="0" w:color="auto"/>
            </w:tcBorders>
            <w:shd w:val="clear" w:color="000000" w:fill="FFFFFF"/>
            <w:vAlign w:val="center"/>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10</w:t>
            </w:r>
          </w:p>
        </w:tc>
      </w:tr>
      <w:tr w:rsidR="00E32CE0" w:rsidRPr="00E32CE0" w:rsidTr="009A6247">
        <w:trPr>
          <w:trHeight w:val="20"/>
        </w:trPr>
        <w:tc>
          <w:tcPr>
            <w:tcW w:w="1109" w:type="pct"/>
            <w:tcBorders>
              <w:top w:val="nil"/>
              <w:left w:val="single" w:sz="8" w:space="0" w:color="auto"/>
              <w:bottom w:val="single" w:sz="4" w:space="0" w:color="auto"/>
              <w:right w:val="single" w:sz="4" w:space="0" w:color="auto"/>
            </w:tcBorders>
            <w:shd w:val="clear" w:color="000000" w:fill="FFFFFF"/>
            <w:vAlign w:val="center"/>
            <w:hideMark/>
          </w:tcPr>
          <w:p w:rsidR="00E32CE0" w:rsidRPr="00E32CE0" w:rsidRDefault="00E32CE0" w:rsidP="00E32CE0">
            <w:pPr>
              <w:spacing w:line="240" w:lineRule="auto"/>
              <w:jc w:val="left"/>
              <w:rPr>
                <w:color w:val="000000"/>
                <w:sz w:val="22"/>
                <w:szCs w:val="22"/>
                <w:lang w:val="en-IN" w:eastAsia="en-IN"/>
              </w:rPr>
            </w:pPr>
            <w:r w:rsidRPr="00E32CE0">
              <w:rPr>
                <w:color w:val="000000"/>
                <w:sz w:val="22"/>
                <w:szCs w:val="22"/>
                <w:lang w:val="en-IN" w:eastAsia="en-IN"/>
              </w:rPr>
              <w:t xml:space="preserve">22 kV &amp; 11 kV (Overhead) </w:t>
            </w:r>
          </w:p>
        </w:tc>
        <w:tc>
          <w:tcPr>
            <w:tcW w:w="912" w:type="pct"/>
            <w:tcBorders>
              <w:top w:val="nil"/>
              <w:left w:val="nil"/>
              <w:bottom w:val="single" w:sz="4" w:space="0" w:color="auto"/>
              <w:right w:val="single" w:sz="4" w:space="0" w:color="auto"/>
            </w:tcBorders>
            <w:shd w:val="clear" w:color="000000" w:fill="FFFFFF"/>
            <w:vAlign w:val="center"/>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2185</w:t>
            </w:r>
          </w:p>
        </w:tc>
        <w:tc>
          <w:tcPr>
            <w:tcW w:w="1247" w:type="pct"/>
            <w:tcBorders>
              <w:top w:val="nil"/>
              <w:left w:val="nil"/>
              <w:bottom w:val="single" w:sz="4" w:space="0" w:color="auto"/>
              <w:right w:val="single" w:sz="4" w:space="0" w:color="auto"/>
            </w:tcBorders>
            <w:shd w:val="clear" w:color="auto" w:fill="auto"/>
            <w:noWrap/>
            <w:vAlign w:val="center"/>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 </w:t>
            </w:r>
          </w:p>
        </w:tc>
        <w:tc>
          <w:tcPr>
            <w:tcW w:w="784" w:type="pct"/>
            <w:tcBorders>
              <w:top w:val="nil"/>
              <w:left w:val="nil"/>
              <w:bottom w:val="single" w:sz="4" w:space="0" w:color="auto"/>
              <w:right w:val="single" w:sz="4" w:space="0" w:color="auto"/>
            </w:tcBorders>
            <w:shd w:val="clear" w:color="000000" w:fill="FFFFFF"/>
            <w:vAlign w:val="center"/>
            <w:hideMark/>
          </w:tcPr>
          <w:p w:rsidR="00E32CE0" w:rsidRPr="00E32CE0" w:rsidRDefault="00E32CE0" w:rsidP="00E32CE0">
            <w:pPr>
              <w:spacing w:line="240" w:lineRule="auto"/>
              <w:jc w:val="center"/>
              <w:rPr>
                <w:b/>
                <w:bCs/>
                <w:color w:val="000000"/>
                <w:sz w:val="22"/>
                <w:szCs w:val="22"/>
                <w:lang w:val="en-IN" w:eastAsia="en-IN"/>
              </w:rPr>
            </w:pPr>
            <w:r w:rsidRPr="00E32CE0">
              <w:rPr>
                <w:b/>
                <w:bCs/>
                <w:color w:val="000000"/>
                <w:sz w:val="22"/>
                <w:szCs w:val="22"/>
                <w:lang w:val="en-IN" w:eastAsia="en-IN"/>
              </w:rPr>
              <w:t> </w:t>
            </w:r>
          </w:p>
        </w:tc>
        <w:tc>
          <w:tcPr>
            <w:tcW w:w="948" w:type="pct"/>
            <w:tcBorders>
              <w:top w:val="nil"/>
              <w:left w:val="nil"/>
              <w:bottom w:val="single" w:sz="4" w:space="0" w:color="auto"/>
              <w:right w:val="single" w:sz="8" w:space="0" w:color="auto"/>
            </w:tcBorders>
            <w:shd w:val="clear" w:color="auto" w:fill="auto"/>
            <w:noWrap/>
            <w:vAlign w:val="center"/>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 </w:t>
            </w:r>
          </w:p>
        </w:tc>
      </w:tr>
      <w:tr w:rsidR="00E32CE0" w:rsidRPr="00E32CE0" w:rsidTr="009A6247">
        <w:trPr>
          <w:trHeight w:val="20"/>
        </w:trPr>
        <w:tc>
          <w:tcPr>
            <w:tcW w:w="1109" w:type="pct"/>
            <w:tcBorders>
              <w:top w:val="nil"/>
              <w:left w:val="single" w:sz="8" w:space="0" w:color="auto"/>
              <w:bottom w:val="single" w:sz="4" w:space="0" w:color="auto"/>
              <w:right w:val="single" w:sz="4" w:space="0" w:color="auto"/>
            </w:tcBorders>
            <w:shd w:val="clear" w:color="000000" w:fill="FFFFFF"/>
            <w:vAlign w:val="center"/>
            <w:hideMark/>
          </w:tcPr>
          <w:p w:rsidR="00E32CE0" w:rsidRPr="00E32CE0" w:rsidRDefault="00E32CE0" w:rsidP="00E32CE0">
            <w:pPr>
              <w:spacing w:line="240" w:lineRule="auto"/>
              <w:jc w:val="left"/>
              <w:rPr>
                <w:color w:val="000000"/>
                <w:sz w:val="22"/>
                <w:szCs w:val="22"/>
                <w:lang w:val="en-IN" w:eastAsia="en-IN"/>
              </w:rPr>
            </w:pPr>
            <w:r w:rsidRPr="00E32CE0">
              <w:rPr>
                <w:color w:val="000000"/>
                <w:sz w:val="22"/>
                <w:szCs w:val="22"/>
                <w:lang w:val="en-IN" w:eastAsia="en-IN"/>
              </w:rPr>
              <w:t xml:space="preserve">22 kV &amp; 11 kV (Underground) </w:t>
            </w:r>
          </w:p>
        </w:tc>
        <w:tc>
          <w:tcPr>
            <w:tcW w:w="912" w:type="pct"/>
            <w:tcBorders>
              <w:top w:val="nil"/>
              <w:left w:val="nil"/>
              <w:bottom w:val="single" w:sz="4" w:space="0" w:color="auto"/>
              <w:right w:val="single" w:sz="4" w:space="0" w:color="auto"/>
            </w:tcBorders>
            <w:shd w:val="clear" w:color="000000" w:fill="FFFFFF"/>
            <w:vAlign w:val="center"/>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90</w:t>
            </w:r>
          </w:p>
        </w:tc>
        <w:tc>
          <w:tcPr>
            <w:tcW w:w="1247" w:type="pct"/>
            <w:tcBorders>
              <w:top w:val="nil"/>
              <w:left w:val="nil"/>
              <w:bottom w:val="single" w:sz="4" w:space="0" w:color="auto"/>
              <w:right w:val="single" w:sz="4" w:space="0" w:color="auto"/>
            </w:tcBorders>
            <w:shd w:val="clear" w:color="auto" w:fill="auto"/>
            <w:noWrap/>
            <w:vAlign w:val="center"/>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 </w:t>
            </w:r>
          </w:p>
        </w:tc>
        <w:tc>
          <w:tcPr>
            <w:tcW w:w="784" w:type="pct"/>
            <w:tcBorders>
              <w:top w:val="nil"/>
              <w:left w:val="nil"/>
              <w:bottom w:val="single" w:sz="4" w:space="0" w:color="auto"/>
              <w:right w:val="single" w:sz="4" w:space="0" w:color="auto"/>
            </w:tcBorders>
            <w:shd w:val="clear" w:color="000000" w:fill="FFFFFF"/>
            <w:vAlign w:val="center"/>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 </w:t>
            </w:r>
          </w:p>
        </w:tc>
        <w:tc>
          <w:tcPr>
            <w:tcW w:w="948" w:type="pct"/>
            <w:tcBorders>
              <w:top w:val="nil"/>
              <w:left w:val="nil"/>
              <w:bottom w:val="single" w:sz="4" w:space="0" w:color="auto"/>
              <w:right w:val="single" w:sz="8" w:space="0" w:color="auto"/>
            </w:tcBorders>
            <w:shd w:val="clear" w:color="auto" w:fill="auto"/>
            <w:noWrap/>
            <w:vAlign w:val="center"/>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 </w:t>
            </w:r>
          </w:p>
        </w:tc>
      </w:tr>
      <w:tr w:rsidR="00E32CE0" w:rsidRPr="00E32CE0" w:rsidTr="009A6247">
        <w:trPr>
          <w:trHeight w:val="20"/>
        </w:trPr>
        <w:tc>
          <w:tcPr>
            <w:tcW w:w="1109" w:type="pct"/>
            <w:tcBorders>
              <w:top w:val="nil"/>
              <w:left w:val="single" w:sz="8" w:space="0" w:color="auto"/>
              <w:bottom w:val="single" w:sz="4" w:space="0" w:color="auto"/>
              <w:right w:val="single" w:sz="4" w:space="0" w:color="auto"/>
            </w:tcBorders>
            <w:shd w:val="clear" w:color="000000" w:fill="FFFFFF"/>
            <w:vAlign w:val="center"/>
            <w:hideMark/>
          </w:tcPr>
          <w:p w:rsidR="00E32CE0" w:rsidRPr="00E32CE0" w:rsidRDefault="00E32CE0" w:rsidP="00E32CE0">
            <w:pPr>
              <w:spacing w:line="240" w:lineRule="auto"/>
              <w:jc w:val="left"/>
              <w:rPr>
                <w:color w:val="000000"/>
                <w:sz w:val="22"/>
                <w:szCs w:val="22"/>
                <w:lang w:val="en-IN" w:eastAsia="en-IN"/>
              </w:rPr>
            </w:pPr>
            <w:r w:rsidRPr="00E32CE0">
              <w:rPr>
                <w:color w:val="000000"/>
                <w:sz w:val="22"/>
                <w:szCs w:val="22"/>
                <w:lang w:val="en-IN" w:eastAsia="en-IN"/>
              </w:rPr>
              <w:t xml:space="preserve">LT (Overhead) </w:t>
            </w:r>
          </w:p>
        </w:tc>
        <w:tc>
          <w:tcPr>
            <w:tcW w:w="912" w:type="pct"/>
            <w:tcBorders>
              <w:top w:val="nil"/>
              <w:left w:val="nil"/>
              <w:bottom w:val="single" w:sz="4" w:space="0" w:color="auto"/>
              <w:right w:val="single" w:sz="4" w:space="0" w:color="auto"/>
            </w:tcBorders>
            <w:shd w:val="clear" w:color="000000" w:fill="FFFFFF"/>
            <w:vAlign w:val="center"/>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3310</w:t>
            </w:r>
          </w:p>
        </w:tc>
        <w:tc>
          <w:tcPr>
            <w:tcW w:w="1247" w:type="pct"/>
            <w:tcBorders>
              <w:top w:val="nil"/>
              <w:left w:val="nil"/>
              <w:bottom w:val="single" w:sz="4" w:space="0" w:color="auto"/>
              <w:right w:val="single" w:sz="4" w:space="0" w:color="auto"/>
            </w:tcBorders>
            <w:shd w:val="clear" w:color="auto" w:fill="auto"/>
            <w:noWrap/>
            <w:vAlign w:val="center"/>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 </w:t>
            </w:r>
          </w:p>
        </w:tc>
        <w:tc>
          <w:tcPr>
            <w:tcW w:w="784" w:type="pct"/>
            <w:tcBorders>
              <w:top w:val="nil"/>
              <w:left w:val="nil"/>
              <w:bottom w:val="single" w:sz="4" w:space="0" w:color="auto"/>
              <w:right w:val="single" w:sz="4" w:space="0" w:color="auto"/>
            </w:tcBorders>
            <w:shd w:val="clear" w:color="000000" w:fill="FFFFFF"/>
            <w:vAlign w:val="center"/>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 </w:t>
            </w:r>
          </w:p>
        </w:tc>
        <w:tc>
          <w:tcPr>
            <w:tcW w:w="948" w:type="pct"/>
            <w:tcBorders>
              <w:top w:val="nil"/>
              <w:left w:val="nil"/>
              <w:bottom w:val="single" w:sz="4" w:space="0" w:color="auto"/>
              <w:right w:val="single" w:sz="8" w:space="0" w:color="auto"/>
            </w:tcBorders>
            <w:shd w:val="clear" w:color="auto" w:fill="auto"/>
            <w:noWrap/>
            <w:vAlign w:val="center"/>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 </w:t>
            </w:r>
          </w:p>
        </w:tc>
      </w:tr>
      <w:tr w:rsidR="00E32CE0" w:rsidRPr="00E32CE0" w:rsidTr="009A6247">
        <w:trPr>
          <w:trHeight w:val="20"/>
        </w:trPr>
        <w:tc>
          <w:tcPr>
            <w:tcW w:w="1109" w:type="pct"/>
            <w:tcBorders>
              <w:top w:val="nil"/>
              <w:left w:val="single" w:sz="8" w:space="0" w:color="auto"/>
              <w:bottom w:val="single" w:sz="4" w:space="0" w:color="auto"/>
              <w:right w:val="single" w:sz="4" w:space="0" w:color="auto"/>
            </w:tcBorders>
            <w:shd w:val="clear" w:color="000000" w:fill="FFFFFF"/>
            <w:vAlign w:val="center"/>
            <w:hideMark/>
          </w:tcPr>
          <w:p w:rsidR="00E32CE0" w:rsidRPr="00E32CE0" w:rsidRDefault="00E32CE0" w:rsidP="00E32CE0">
            <w:pPr>
              <w:spacing w:line="240" w:lineRule="auto"/>
              <w:jc w:val="left"/>
              <w:rPr>
                <w:color w:val="000000"/>
                <w:sz w:val="22"/>
                <w:szCs w:val="22"/>
                <w:lang w:val="en-IN" w:eastAsia="en-IN"/>
              </w:rPr>
            </w:pPr>
            <w:r w:rsidRPr="00E32CE0">
              <w:rPr>
                <w:color w:val="000000"/>
                <w:sz w:val="22"/>
                <w:szCs w:val="22"/>
                <w:lang w:val="en-IN" w:eastAsia="en-IN"/>
              </w:rPr>
              <w:t xml:space="preserve">LT (Underground) </w:t>
            </w:r>
          </w:p>
        </w:tc>
        <w:tc>
          <w:tcPr>
            <w:tcW w:w="912" w:type="pct"/>
            <w:tcBorders>
              <w:top w:val="nil"/>
              <w:left w:val="nil"/>
              <w:bottom w:val="single" w:sz="4" w:space="0" w:color="auto"/>
              <w:right w:val="single" w:sz="4" w:space="0" w:color="auto"/>
            </w:tcBorders>
            <w:shd w:val="clear" w:color="000000" w:fill="FFFFFF"/>
            <w:vAlign w:val="center"/>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535</w:t>
            </w:r>
          </w:p>
        </w:tc>
        <w:tc>
          <w:tcPr>
            <w:tcW w:w="1247" w:type="pct"/>
            <w:tcBorders>
              <w:top w:val="nil"/>
              <w:left w:val="nil"/>
              <w:bottom w:val="single" w:sz="4" w:space="0" w:color="auto"/>
              <w:right w:val="single" w:sz="4" w:space="0" w:color="auto"/>
            </w:tcBorders>
            <w:shd w:val="clear" w:color="auto" w:fill="auto"/>
            <w:noWrap/>
            <w:vAlign w:val="center"/>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 </w:t>
            </w:r>
          </w:p>
        </w:tc>
        <w:tc>
          <w:tcPr>
            <w:tcW w:w="784" w:type="pct"/>
            <w:tcBorders>
              <w:top w:val="nil"/>
              <w:left w:val="nil"/>
              <w:bottom w:val="single" w:sz="4" w:space="0" w:color="auto"/>
              <w:right w:val="single" w:sz="4" w:space="0" w:color="auto"/>
            </w:tcBorders>
            <w:shd w:val="clear" w:color="000000" w:fill="FFFFFF"/>
            <w:vAlign w:val="center"/>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 </w:t>
            </w:r>
          </w:p>
        </w:tc>
        <w:tc>
          <w:tcPr>
            <w:tcW w:w="948" w:type="pct"/>
            <w:tcBorders>
              <w:top w:val="nil"/>
              <w:left w:val="nil"/>
              <w:bottom w:val="single" w:sz="4" w:space="0" w:color="auto"/>
              <w:right w:val="single" w:sz="8" w:space="0" w:color="auto"/>
            </w:tcBorders>
            <w:shd w:val="clear" w:color="auto" w:fill="auto"/>
            <w:noWrap/>
            <w:vAlign w:val="center"/>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 </w:t>
            </w:r>
          </w:p>
        </w:tc>
      </w:tr>
      <w:tr w:rsidR="00E32CE0" w:rsidRPr="00E32CE0" w:rsidTr="009A6247">
        <w:trPr>
          <w:trHeight w:val="20"/>
        </w:trPr>
        <w:tc>
          <w:tcPr>
            <w:tcW w:w="1109" w:type="pct"/>
            <w:tcBorders>
              <w:top w:val="nil"/>
              <w:left w:val="single" w:sz="8" w:space="0" w:color="auto"/>
              <w:bottom w:val="single" w:sz="4" w:space="0" w:color="auto"/>
              <w:right w:val="single" w:sz="4" w:space="0" w:color="auto"/>
            </w:tcBorders>
            <w:shd w:val="clear" w:color="000000" w:fill="ACB9CA"/>
            <w:vAlign w:val="center"/>
            <w:hideMark/>
          </w:tcPr>
          <w:p w:rsidR="00E32CE0" w:rsidRPr="00E32CE0" w:rsidRDefault="00E32CE0" w:rsidP="00E32CE0">
            <w:pPr>
              <w:spacing w:line="240" w:lineRule="auto"/>
              <w:jc w:val="center"/>
              <w:rPr>
                <w:b/>
                <w:bCs/>
                <w:sz w:val="22"/>
                <w:szCs w:val="22"/>
                <w:lang w:val="en-IN" w:eastAsia="en-IN"/>
              </w:rPr>
            </w:pPr>
            <w:r w:rsidRPr="00E32CE0">
              <w:rPr>
                <w:b/>
                <w:bCs/>
                <w:sz w:val="22"/>
                <w:szCs w:val="22"/>
                <w:lang w:val="en-IN" w:eastAsia="en-IN"/>
              </w:rPr>
              <w:t>Distribution Transformer capacity</w:t>
            </w:r>
          </w:p>
        </w:tc>
        <w:tc>
          <w:tcPr>
            <w:tcW w:w="912" w:type="pct"/>
            <w:tcBorders>
              <w:top w:val="nil"/>
              <w:left w:val="nil"/>
              <w:bottom w:val="single" w:sz="4" w:space="0" w:color="auto"/>
              <w:right w:val="single" w:sz="4" w:space="0" w:color="auto"/>
            </w:tcBorders>
            <w:shd w:val="clear" w:color="000000" w:fill="ACB9CA"/>
            <w:vAlign w:val="center"/>
            <w:hideMark/>
          </w:tcPr>
          <w:p w:rsidR="00E32CE0" w:rsidRPr="00E32CE0" w:rsidRDefault="00E32CE0" w:rsidP="00E32CE0">
            <w:pPr>
              <w:spacing w:line="240" w:lineRule="auto"/>
              <w:jc w:val="center"/>
              <w:rPr>
                <w:b/>
                <w:bCs/>
                <w:sz w:val="22"/>
                <w:szCs w:val="22"/>
                <w:lang w:val="en-IN" w:eastAsia="en-IN"/>
              </w:rPr>
            </w:pPr>
            <w:r w:rsidRPr="00E32CE0">
              <w:rPr>
                <w:b/>
                <w:bCs/>
                <w:sz w:val="22"/>
                <w:szCs w:val="22"/>
                <w:lang w:val="en-IN" w:eastAsia="en-IN"/>
              </w:rPr>
              <w:t>11kV Transformers</w:t>
            </w:r>
          </w:p>
        </w:tc>
        <w:tc>
          <w:tcPr>
            <w:tcW w:w="1247" w:type="pct"/>
            <w:tcBorders>
              <w:top w:val="nil"/>
              <w:left w:val="nil"/>
              <w:bottom w:val="single" w:sz="4" w:space="0" w:color="auto"/>
              <w:right w:val="single" w:sz="4" w:space="0" w:color="auto"/>
            </w:tcBorders>
            <w:shd w:val="clear" w:color="000000" w:fill="ACB9CA"/>
            <w:vAlign w:val="center"/>
            <w:hideMark/>
          </w:tcPr>
          <w:p w:rsidR="00E32CE0" w:rsidRPr="00E32CE0" w:rsidRDefault="00E32CE0" w:rsidP="00E32CE0">
            <w:pPr>
              <w:spacing w:line="240" w:lineRule="auto"/>
              <w:jc w:val="center"/>
              <w:rPr>
                <w:b/>
                <w:bCs/>
                <w:sz w:val="22"/>
                <w:szCs w:val="22"/>
                <w:lang w:val="en-IN" w:eastAsia="en-IN"/>
              </w:rPr>
            </w:pPr>
            <w:r w:rsidRPr="00E32CE0">
              <w:rPr>
                <w:b/>
                <w:bCs/>
                <w:sz w:val="22"/>
                <w:szCs w:val="22"/>
                <w:lang w:val="en-IN" w:eastAsia="en-IN"/>
              </w:rPr>
              <w:t>Total Transformation Capacity</w:t>
            </w:r>
          </w:p>
        </w:tc>
        <w:tc>
          <w:tcPr>
            <w:tcW w:w="784" w:type="pct"/>
            <w:tcBorders>
              <w:top w:val="nil"/>
              <w:left w:val="nil"/>
              <w:bottom w:val="single" w:sz="4" w:space="0" w:color="auto"/>
              <w:right w:val="single" w:sz="4" w:space="0" w:color="auto"/>
            </w:tcBorders>
            <w:shd w:val="clear" w:color="000000" w:fill="ACB9CA"/>
            <w:vAlign w:val="center"/>
            <w:hideMark/>
          </w:tcPr>
          <w:p w:rsidR="00E32CE0" w:rsidRPr="00E32CE0" w:rsidRDefault="00E32CE0" w:rsidP="00E32CE0">
            <w:pPr>
              <w:spacing w:line="240" w:lineRule="auto"/>
              <w:jc w:val="center"/>
              <w:rPr>
                <w:b/>
                <w:bCs/>
                <w:sz w:val="22"/>
                <w:szCs w:val="22"/>
                <w:lang w:val="en-IN" w:eastAsia="en-IN"/>
              </w:rPr>
            </w:pPr>
            <w:r w:rsidRPr="00E32CE0">
              <w:rPr>
                <w:b/>
                <w:bCs/>
                <w:sz w:val="22"/>
                <w:szCs w:val="22"/>
                <w:lang w:val="en-IN" w:eastAsia="en-IN"/>
              </w:rPr>
              <w:t>22kV Transformers</w:t>
            </w:r>
          </w:p>
        </w:tc>
        <w:tc>
          <w:tcPr>
            <w:tcW w:w="948" w:type="pct"/>
            <w:tcBorders>
              <w:top w:val="nil"/>
              <w:left w:val="nil"/>
              <w:bottom w:val="single" w:sz="4" w:space="0" w:color="auto"/>
              <w:right w:val="single" w:sz="8" w:space="0" w:color="auto"/>
            </w:tcBorders>
            <w:shd w:val="clear" w:color="000000" w:fill="ACB9CA"/>
            <w:vAlign w:val="center"/>
            <w:hideMark/>
          </w:tcPr>
          <w:p w:rsidR="00E32CE0" w:rsidRPr="00E32CE0" w:rsidRDefault="00E32CE0" w:rsidP="00E32CE0">
            <w:pPr>
              <w:spacing w:line="240" w:lineRule="auto"/>
              <w:jc w:val="center"/>
              <w:rPr>
                <w:b/>
                <w:bCs/>
                <w:sz w:val="22"/>
                <w:szCs w:val="22"/>
                <w:lang w:val="en-IN" w:eastAsia="en-IN"/>
              </w:rPr>
            </w:pPr>
            <w:r w:rsidRPr="00E32CE0">
              <w:rPr>
                <w:b/>
                <w:bCs/>
                <w:sz w:val="22"/>
                <w:szCs w:val="22"/>
                <w:lang w:val="en-IN" w:eastAsia="en-IN"/>
              </w:rPr>
              <w:t>Total Transformation Capacity</w:t>
            </w:r>
          </w:p>
        </w:tc>
      </w:tr>
      <w:tr w:rsidR="00E32CE0" w:rsidRPr="00E32CE0" w:rsidTr="009A6247">
        <w:trPr>
          <w:trHeight w:val="20"/>
        </w:trPr>
        <w:tc>
          <w:tcPr>
            <w:tcW w:w="1109" w:type="pct"/>
            <w:tcBorders>
              <w:top w:val="nil"/>
              <w:left w:val="single" w:sz="8" w:space="0" w:color="auto"/>
              <w:bottom w:val="single" w:sz="4" w:space="0" w:color="auto"/>
              <w:right w:val="single" w:sz="4" w:space="0" w:color="auto"/>
            </w:tcBorders>
            <w:shd w:val="clear" w:color="000000" w:fill="ACB9CA"/>
            <w:vAlign w:val="center"/>
            <w:hideMark/>
          </w:tcPr>
          <w:p w:rsidR="00E32CE0" w:rsidRPr="00E32CE0" w:rsidRDefault="00E32CE0" w:rsidP="00E32CE0">
            <w:pPr>
              <w:spacing w:line="240" w:lineRule="auto"/>
              <w:jc w:val="center"/>
              <w:rPr>
                <w:b/>
                <w:bCs/>
                <w:sz w:val="22"/>
                <w:szCs w:val="22"/>
                <w:lang w:val="en-IN" w:eastAsia="en-IN"/>
              </w:rPr>
            </w:pPr>
            <w:r w:rsidRPr="00E32CE0">
              <w:rPr>
                <w:b/>
                <w:bCs/>
                <w:sz w:val="22"/>
                <w:szCs w:val="22"/>
                <w:lang w:val="en-IN" w:eastAsia="en-IN"/>
              </w:rPr>
              <w:t>kVA</w:t>
            </w:r>
          </w:p>
        </w:tc>
        <w:tc>
          <w:tcPr>
            <w:tcW w:w="912" w:type="pct"/>
            <w:tcBorders>
              <w:top w:val="nil"/>
              <w:left w:val="nil"/>
              <w:bottom w:val="single" w:sz="4" w:space="0" w:color="auto"/>
              <w:right w:val="single" w:sz="4" w:space="0" w:color="auto"/>
            </w:tcBorders>
            <w:shd w:val="clear" w:color="000000" w:fill="ACB9CA"/>
            <w:vAlign w:val="center"/>
            <w:hideMark/>
          </w:tcPr>
          <w:p w:rsidR="00E32CE0" w:rsidRPr="00E32CE0" w:rsidRDefault="00E32CE0" w:rsidP="00E32CE0">
            <w:pPr>
              <w:spacing w:line="240" w:lineRule="auto"/>
              <w:jc w:val="center"/>
              <w:rPr>
                <w:b/>
                <w:bCs/>
                <w:sz w:val="22"/>
                <w:szCs w:val="22"/>
                <w:lang w:val="en-IN" w:eastAsia="en-IN"/>
              </w:rPr>
            </w:pPr>
            <w:r w:rsidRPr="00E32CE0">
              <w:rPr>
                <w:b/>
                <w:bCs/>
                <w:sz w:val="22"/>
                <w:szCs w:val="22"/>
                <w:lang w:val="en-IN" w:eastAsia="en-IN"/>
              </w:rPr>
              <w:t>Nos.</w:t>
            </w:r>
          </w:p>
        </w:tc>
        <w:tc>
          <w:tcPr>
            <w:tcW w:w="1247" w:type="pct"/>
            <w:tcBorders>
              <w:top w:val="nil"/>
              <w:left w:val="nil"/>
              <w:bottom w:val="single" w:sz="4" w:space="0" w:color="auto"/>
              <w:right w:val="single" w:sz="4" w:space="0" w:color="auto"/>
            </w:tcBorders>
            <w:shd w:val="clear" w:color="000000" w:fill="ACB9CA"/>
            <w:vAlign w:val="center"/>
            <w:hideMark/>
          </w:tcPr>
          <w:p w:rsidR="00E32CE0" w:rsidRPr="00E32CE0" w:rsidRDefault="00E32CE0" w:rsidP="00E32CE0">
            <w:pPr>
              <w:spacing w:line="240" w:lineRule="auto"/>
              <w:jc w:val="center"/>
              <w:rPr>
                <w:b/>
                <w:bCs/>
                <w:sz w:val="22"/>
                <w:szCs w:val="22"/>
                <w:lang w:val="en-IN" w:eastAsia="en-IN"/>
              </w:rPr>
            </w:pPr>
            <w:r w:rsidRPr="00E32CE0">
              <w:rPr>
                <w:b/>
                <w:bCs/>
                <w:sz w:val="22"/>
                <w:szCs w:val="22"/>
                <w:lang w:val="en-IN" w:eastAsia="en-IN"/>
              </w:rPr>
              <w:t>MVA</w:t>
            </w:r>
          </w:p>
        </w:tc>
        <w:tc>
          <w:tcPr>
            <w:tcW w:w="784" w:type="pct"/>
            <w:tcBorders>
              <w:top w:val="nil"/>
              <w:left w:val="nil"/>
              <w:bottom w:val="single" w:sz="4" w:space="0" w:color="auto"/>
              <w:right w:val="single" w:sz="4" w:space="0" w:color="auto"/>
            </w:tcBorders>
            <w:shd w:val="clear" w:color="000000" w:fill="ACB9CA"/>
            <w:vAlign w:val="center"/>
            <w:hideMark/>
          </w:tcPr>
          <w:p w:rsidR="00E32CE0" w:rsidRPr="00E32CE0" w:rsidRDefault="00E32CE0" w:rsidP="00E32CE0">
            <w:pPr>
              <w:spacing w:line="240" w:lineRule="auto"/>
              <w:jc w:val="center"/>
              <w:rPr>
                <w:b/>
                <w:bCs/>
                <w:sz w:val="22"/>
                <w:szCs w:val="22"/>
                <w:lang w:val="en-IN" w:eastAsia="en-IN"/>
              </w:rPr>
            </w:pPr>
            <w:r w:rsidRPr="00E32CE0">
              <w:rPr>
                <w:b/>
                <w:bCs/>
                <w:sz w:val="22"/>
                <w:szCs w:val="22"/>
                <w:lang w:val="en-IN" w:eastAsia="en-IN"/>
              </w:rPr>
              <w:t>Nos.</w:t>
            </w:r>
          </w:p>
        </w:tc>
        <w:tc>
          <w:tcPr>
            <w:tcW w:w="948" w:type="pct"/>
            <w:tcBorders>
              <w:top w:val="nil"/>
              <w:left w:val="nil"/>
              <w:bottom w:val="single" w:sz="4" w:space="0" w:color="auto"/>
              <w:right w:val="single" w:sz="8" w:space="0" w:color="auto"/>
            </w:tcBorders>
            <w:shd w:val="clear" w:color="000000" w:fill="ACB9CA"/>
            <w:vAlign w:val="center"/>
            <w:hideMark/>
          </w:tcPr>
          <w:p w:rsidR="00E32CE0" w:rsidRPr="00E32CE0" w:rsidRDefault="00E32CE0" w:rsidP="00E32CE0">
            <w:pPr>
              <w:spacing w:line="240" w:lineRule="auto"/>
              <w:jc w:val="center"/>
              <w:rPr>
                <w:b/>
                <w:bCs/>
                <w:sz w:val="22"/>
                <w:szCs w:val="22"/>
                <w:lang w:val="en-IN" w:eastAsia="en-IN"/>
              </w:rPr>
            </w:pPr>
            <w:r w:rsidRPr="00E32CE0">
              <w:rPr>
                <w:b/>
                <w:bCs/>
                <w:sz w:val="22"/>
                <w:szCs w:val="22"/>
                <w:lang w:val="en-IN" w:eastAsia="en-IN"/>
              </w:rPr>
              <w:t>MVA</w:t>
            </w:r>
          </w:p>
        </w:tc>
      </w:tr>
      <w:tr w:rsidR="00E32CE0" w:rsidRPr="00E32CE0" w:rsidTr="009A6247">
        <w:trPr>
          <w:trHeight w:val="20"/>
        </w:trPr>
        <w:tc>
          <w:tcPr>
            <w:tcW w:w="1109" w:type="pct"/>
            <w:tcBorders>
              <w:top w:val="nil"/>
              <w:left w:val="single" w:sz="8" w:space="0" w:color="auto"/>
              <w:bottom w:val="single" w:sz="4" w:space="0" w:color="auto"/>
              <w:right w:val="single" w:sz="4" w:space="0" w:color="auto"/>
            </w:tcBorders>
            <w:shd w:val="clear" w:color="auto" w:fill="auto"/>
            <w:noWrap/>
            <w:vAlign w:val="bottom"/>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100</w:t>
            </w:r>
          </w:p>
        </w:tc>
        <w:tc>
          <w:tcPr>
            <w:tcW w:w="912" w:type="pct"/>
            <w:tcBorders>
              <w:top w:val="nil"/>
              <w:left w:val="nil"/>
              <w:bottom w:val="single" w:sz="4" w:space="0" w:color="auto"/>
              <w:right w:val="single" w:sz="4" w:space="0" w:color="auto"/>
            </w:tcBorders>
            <w:shd w:val="clear" w:color="auto" w:fill="auto"/>
            <w:noWrap/>
            <w:vAlign w:val="center"/>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116</w:t>
            </w:r>
          </w:p>
        </w:tc>
        <w:tc>
          <w:tcPr>
            <w:tcW w:w="1247" w:type="pct"/>
            <w:tcBorders>
              <w:top w:val="nil"/>
              <w:left w:val="nil"/>
              <w:bottom w:val="single" w:sz="4" w:space="0" w:color="auto"/>
              <w:right w:val="single" w:sz="4" w:space="0" w:color="auto"/>
            </w:tcBorders>
            <w:shd w:val="clear" w:color="auto" w:fill="auto"/>
            <w:noWrap/>
            <w:vAlign w:val="center"/>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12</w:t>
            </w:r>
          </w:p>
        </w:tc>
        <w:tc>
          <w:tcPr>
            <w:tcW w:w="784" w:type="pct"/>
            <w:tcBorders>
              <w:top w:val="nil"/>
              <w:left w:val="nil"/>
              <w:bottom w:val="single" w:sz="4" w:space="0" w:color="auto"/>
              <w:right w:val="single" w:sz="4" w:space="0" w:color="auto"/>
            </w:tcBorders>
            <w:shd w:val="clear" w:color="auto" w:fill="auto"/>
            <w:noWrap/>
            <w:vAlign w:val="center"/>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144</w:t>
            </w:r>
          </w:p>
        </w:tc>
        <w:tc>
          <w:tcPr>
            <w:tcW w:w="948" w:type="pct"/>
            <w:tcBorders>
              <w:top w:val="nil"/>
              <w:left w:val="nil"/>
              <w:bottom w:val="single" w:sz="4" w:space="0" w:color="auto"/>
              <w:right w:val="single" w:sz="4" w:space="0" w:color="auto"/>
            </w:tcBorders>
            <w:shd w:val="clear" w:color="auto" w:fill="auto"/>
            <w:noWrap/>
            <w:vAlign w:val="center"/>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14</w:t>
            </w:r>
          </w:p>
        </w:tc>
      </w:tr>
      <w:tr w:rsidR="00E32CE0" w:rsidRPr="00E32CE0" w:rsidTr="009A6247">
        <w:trPr>
          <w:trHeight w:val="20"/>
        </w:trPr>
        <w:tc>
          <w:tcPr>
            <w:tcW w:w="1109" w:type="pct"/>
            <w:tcBorders>
              <w:top w:val="nil"/>
              <w:left w:val="single" w:sz="8" w:space="0" w:color="auto"/>
              <w:bottom w:val="single" w:sz="4" w:space="0" w:color="auto"/>
              <w:right w:val="single" w:sz="4" w:space="0" w:color="auto"/>
            </w:tcBorders>
            <w:shd w:val="clear" w:color="auto" w:fill="auto"/>
            <w:noWrap/>
            <w:vAlign w:val="bottom"/>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200</w:t>
            </w:r>
          </w:p>
        </w:tc>
        <w:tc>
          <w:tcPr>
            <w:tcW w:w="912" w:type="pct"/>
            <w:tcBorders>
              <w:top w:val="nil"/>
              <w:left w:val="nil"/>
              <w:bottom w:val="single" w:sz="4" w:space="0" w:color="auto"/>
              <w:right w:val="single" w:sz="4" w:space="0" w:color="auto"/>
            </w:tcBorders>
            <w:shd w:val="clear" w:color="auto" w:fill="auto"/>
            <w:noWrap/>
            <w:vAlign w:val="center"/>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280</w:t>
            </w:r>
          </w:p>
        </w:tc>
        <w:tc>
          <w:tcPr>
            <w:tcW w:w="1247" w:type="pct"/>
            <w:tcBorders>
              <w:top w:val="nil"/>
              <w:left w:val="nil"/>
              <w:bottom w:val="single" w:sz="4" w:space="0" w:color="auto"/>
              <w:right w:val="single" w:sz="4" w:space="0" w:color="auto"/>
            </w:tcBorders>
            <w:shd w:val="clear" w:color="auto" w:fill="auto"/>
            <w:noWrap/>
            <w:vAlign w:val="center"/>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56</w:t>
            </w:r>
          </w:p>
        </w:tc>
        <w:tc>
          <w:tcPr>
            <w:tcW w:w="784" w:type="pct"/>
            <w:tcBorders>
              <w:top w:val="nil"/>
              <w:left w:val="nil"/>
              <w:bottom w:val="single" w:sz="4" w:space="0" w:color="auto"/>
              <w:right w:val="single" w:sz="4" w:space="0" w:color="auto"/>
            </w:tcBorders>
            <w:shd w:val="clear" w:color="auto" w:fill="auto"/>
            <w:noWrap/>
            <w:vAlign w:val="center"/>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1030</w:t>
            </w:r>
          </w:p>
        </w:tc>
        <w:tc>
          <w:tcPr>
            <w:tcW w:w="948" w:type="pct"/>
            <w:tcBorders>
              <w:top w:val="nil"/>
              <w:left w:val="nil"/>
              <w:bottom w:val="single" w:sz="4" w:space="0" w:color="auto"/>
              <w:right w:val="single" w:sz="4" w:space="0" w:color="auto"/>
            </w:tcBorders>
            <w:shd w:val="clear" w:color="auto" w:fill="auto"/>
            <w:noWrap/>
            <w:vAlign w:val="center"/>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206</w:t>
            </w:r>
          </w:p>
        </w:tc>
      </w:tr>
      <w:tr w:rsidR="00E32CE0" w:rsidRPr="00E32CE0" w:rsidTr="009A6247">
        <w:trPr>
          <w:trHeight w:val="20"/>
        </w:trPr>
        <w:tc>
          <w:tcPr>
            <w:tcW w:w="1109" w:type="pct"/>
            <w:tcBorders>
              <w:top w:val="nil"/>
              <w:left w:val="single" w:sz="8" w:space="0" w:color="auto"/>
              <w:bottom w:val="single" w:sz="4" w:space="0" w:color="auto"/>
              <w:right w:val="single" w:sz="4" w:space="0" w:color="auto"/>
            </w:tcBorders>
            <w:shd w:val="clear" w:color="auto" w:fill="auto"/>
            <w:noWrap/>
            <w:vAlign w:val="bottom"/>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315</w:t>
            </w:r>
          </w:p>
        </w:tc>
        <w:tc>
          <w:tcPr>
            <w:tcW w:w="912" w:type="pct"/>
            <w:tcBorders>
              <w:top w:val="nil"/>
              <w:left w:val="nil"/>
              <w:bottom w:val="single" w:sz="4" w:space="0" w:color="auto"/>
              <w:right w:val="single" w:sz="4" w:space="0" w:color="auto"/>
            </w:tcBorders>
            <w:shd w:val="clear" w:color="auto" w:fill="auto"/>
            <w:noWrap/>
            <w:vAlign w:val="center"/>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229</w:t>
            </w:r>
          </w:p>
        </w:tc>
        <w:tc>
          <w:tcPr>
            <w:tcW w:w="1247" w:type="pct"/>
            <w:tcBorders>
              <w:top w:val="nil"/>
              <w:left w:val="nil"/>
              <w:bottom w:val="single" w:sz="4" w:space="0" w:color="auto"/>
              <w:right w:val="single" w:sz="4" w:space="0" w:color="auto"/>
            </w:tcBorders>
            <w:shd w:val="clear" w:color="auto" w:fill="auto"/>
            <w:noWrap/>
            <w:vAlign w:val="center"/>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72</w:t>
            </w:r>
          </w:p>
        </w:tc>
        <w:tc>
          <w:tcPr>
            <w:tcW w:w="784" w:type="pct"/>
            <w:tcBorders>
              <w:top w:val="nil"/>
              <w:left w:val="nil"/>
              <w:bottom w:val="single" w:sz="4" w:space="0" w:color="auto"/>
              <w:right w:val="single" w:sz="4" w:space="0" w:color="auto"/>
            </w:tcBorders>
            <w:shd w:val="clear" w:color="auto" w:fill="auto"/>
            <w:noWrap/>
            <w:vAlign w:val="center"/>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937</w:t>
            </w:r>
          </w:p>
        </w:tc>
        <w:tc>
          <w:tcPr>
            <w:tcW w:w="948" w:type="pct"/>
            <w:tcBorders>
              <w:top w:val="nil"/>
              <w:left w:val="nil"/>
              <w:bottom w:val="single" w:sz="4" w:space="0" w:color="auto"/>
              <w:right w:val="single" w:sz="4" w:space="0" w:color="auto"/>
            </w:tcBorders>
            <w:shd w:val="clear" w:color="auto" w:fill="auto"/>
            <w:noWrap/>
            <w:vAlign w:val="center"/>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295</w:t>
            </w:r>
          </w:p>
        </w:tc>
      </w:tr>
      <w:tr w:rsidR="00E32CE0" w:rsidRPr="00E32CE0" w:rsidTr="009A6247">
        <w:trPr>
          <w:trHeight w:val="20"/>
        </w:trPr>
        <w:tc>
          <w:tcPr>
            <w:tcW w:w="1109" w:type="pct"/>
            <w:tcBorders>
              <w:top w:val="nil"/>
              <w:left w:val="single" w:sz="8" w:space="0" w:color="auto"/>
              <w:bottom w:val="single" w:sz="4" w:space="0" w:color="auto"/>
              <w:right w:val="single" w:sz="4" w:space="0" w:color="auto"/>
            </w:tcBorders>
            <w:shd w:val="clear" w:color="auto" w:fill="auto"/>
            <w:noWrap/>
            <w:vAlign w:val="bottom"/>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500</w:t>
            </w:r>
          </w:p>
        </w:tc>
        <w:tc>
          <w:tcPr>
            <w:tcW w:w="912" w:type="pct"/>
            <w:tcBorders>
              <w:top w:val="nil"/>
              <w:left w:val="nil"/>
              <w:bottom w:val="single" w:sz="4" w:space="0" w:color="auto"/>
              <w:right w:val="single" w:sz="4" w:space="0" w:color="auto"/>
            </w:tcBorders>
            <w:shd w:val="clear" w:color="auto" w:fill="auto"/>
            <w:noWrap/>
            <w:vAlign w:val="center"/>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2</w:t>
            </w:r>
          </w:p>
        </w:tc>
        <w:tc>
          <w:tcPr>
            <w:tcW w:w="1247" w:type="pct"/>
            <w:tcBorders>
              <w:top w:val="nil"/>
              <w:left w:val="nil"/>
              <w:bottom w:val="single" w:sz="4" w:space="0" w:color="auto"/>
              <w:right w:val="single" w:sz="4" w:space="0" w:color="auto"/>
            </w:tcBorders>
            <w:shd w:val="clear" w:color="auto" w:fill="auto"/>
            <w:noWrap/>
            <w:vAlign w:val="center"/>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1</w:t>
            </w:r>
          </w:p>
        </w:tc>
        <w:tc>
          <w:tcPr>
            <w:tcW w:w="784" w:type="pct"/>
            <w:tcBorders>
              <w:top w:val="nil"/>
              <w:left w:val="nil"/>
              <w:bottom w:val="single" w:sz="4" w:space="0" w:color="auto"/>
              <w:right w:val="single" w:sz="4" w:space="0" w:color="auto"/>
            </w:tcBorders>
            <w:shd w:val="clear" w:color="auto" w:fill="auto"/>
            <w:noWrap/>
            <w:vAlign w:val="center"/>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43</w:t>
            </w:r>
          </w:p>
        </w:tc>
        <w:tc>
          <w:tcPr>
            <w:tcW w:w="948" w:type="pct"/>
            <w:tcBorders>
              <w:top w:val="nil"/>
              <w:left w:val="nil"/>
              <w:bottom w:val="single" w:sz="4" w:space="0" w:color="auto"/>
              <w:right w:val="single" w:sz="4" w:space="0" w:color="auto"/>
            </w:tcBorders>
            <w:shd w:val="clear" w:color="auto" w:fill="auto"/>
            <w:noWrap/>
            <w:vAlign w:val="center"/>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22</w:t>
            </w:r>
          </w:p>
        </w:tc>
      </w:tr>
      <w:tr w:rsidR="00E32CE0" w:rsidRPr="00E32CE0" w:rsidTr="009A6247">
        <w:trPr>
          <w:trHeight w:val="20"/>
        </w:trPr>
        <w:tc>
          <w:tcPr>
            <w:tcW w:w="1109" w:type="pct"/>
            <w:tcBorders>
              <w:top w:val="nil"/>
              <w:left w:val="single" w:sz="8" w:space="0" w:color="auto"/>
              <w:bottom w:val="single" w:sz="4" w:space="0" w:color="auto"/>
              <w:right w:val="single" w:sz="4" w:space="0" w:color="auto"/>
            </w:tcBorders>
            <w:shd w:val="clear" w:color="auto" w:fill="auto"/>
            <w:noWrap/>
            <w:vAlign w:val="bottom"/>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630</w:t>
            </w:r>
          </w:p>
        </w:tc>
        <w:tc>
          <w:tcPr>
            <w:tcW w:w="912" w:type="pct"/>
            <w:tcBorders>
              <w:top w:val="nil"/>
              <w:left w:val="nil"/>
              <w:bottom w:val="single" w:sz="4" w:space="0" w:color="auto"/>
              <w:right w:val="single" w:sz="4" w:space="0" w:color="auto"/>
            </w:tcBorders>
            <w:shd w:val="clear" w:color="auto" w:fill="auto"/>
            <w:noWrap/>
            <w:vAlign w:val="center"/>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95</w:t>
            </w:r>
          </w:p>
        </w:tc>
        <w:tc>
          <w:tcPr>
            <w:tcW w:w="1247" w:type="pct"/>
            <w:tcBorders>
              <w:top w:val="nil"/>
              <w:left w:val="nil"/>
              <w:bottom w:val="single" w:sz="4" w:space="0" w:color="auto"/>
              <w:right w:val="single" w:sz="4" w:space="0" w:color="auto"/>
            </w:tcBorders>
            <w:shd w:val="clear" w:color="auto" w:fill="auto"/>
            <w:noWrap/>
            <w:vAlign w:val="center"/>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60</w:t>
            </w:r>
          </w:p>
        </w:tc>
        <w:tc>
          <w:tcPr>
            <w:tcW w:w="784" w:type="pct"/>
            <w:tcBorders>
              <w:top w:val="nil"/>
              <w:left w:val="nil"/>
              <w:bottom w:val="single" w:sz="4" w:space="0" w:color="auto"/>
              <w:right w:val="single" w:sz="4" w:space="0" w:color="auto"/>
            </w:tcBorders>
            <w:shd w:val="clear" w:color="auto" w:fill="auto"/>
            <w:noWrap/>
            <w:vAlign w:val="center"/>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0</w:t>
            </w:r>
          </w:p>
        </w:tc>
        <w:tc>
          <w:tcPr>
            <w:tcW w:w="948" w:type="pct"/>
            <w:tcBorders>
              <w:top w:val="nil"/>
              <w:left w:val="nil"/>
              <w:bottom w:val="single" w:sz="4" w:space="0" w:color="auto"/>
              <w:right w:val="single" w:sz="4" w:space="0" w:color="auto"/>
            </w:tcBorders>
            <w:shd w:val="clear" w:color="auto" w:fill="auto"/>
            <w:noWrap/>
            <w:vAlign w:val="center"/>
            <w:hideMark/>
          </w:tcPr>
          <w:p w:rsidR="00E32CE0" w:rsidRPr="00E32CE0" w:rsidRDefault="00E32CE0" w:rsidP="00E32CE0">
            <w:pPr>
              <w:spacing w:line="240" w:lineRule="auto"/>
              <w:jc w:val="center"/>
              <w:rPr>
                <w:color w:val="000000"/>
                <w:sz w:val="22"/>
                <w:szCs w:val="22"/>
                <w:lang w:val="en-IN" w:eastAsia="en-IN"/>
              </w:rPr>
            </w:pPr>
            <w:r w:rsidRPr="00E32CE0">
              <w:rPr>
                <w:color w:val="000000"/>
                <w:sz w:val="22"/>
                <w:szCs w:val="22"/>
                <w:lang w:val="en-IN" w:eastAsia="en-IN"/>
              </w:rPr>
              <w:t>0</w:t>
            </w:r>
          </w:p>
        </w:tc>
      </w:tr>
      <w:tr w:rsidR="00E32CE0" w:rsidRPr="00E32CE0" w:rsidTr="009A6247">
        <w:trPr>
          <w:trHeight w:val="20"/>
        </w:trPr>
        <w:tc>
          <w:tcPr>
            <w:tcW w:w="1109" w:type="pct"/>
            <w:tcBorders>
              <w:top w:val="nil"/>
              <w:left w:val="single" w:sz="8" w:space="0" w:color="auto"/>
              <w:bottom w:val="single" w:sz="4" w:space="0" w:color="auto"/>
              <w:right w:val="single" w:sz="4" w:space="0" w:color="auto"/>
            </w:tcBorders>
            <w:shd w:val="clear" w:color="000000" w:fill="ACB9CA"/>
            <w:noWrap/>
            <w:vAlign w:val="bottom"/>
            <w:hideMark/>
          </w:tcPr>
          <w:p w:rsidR="00E32CE0" w:rsidRPr="00E32CE0" w:rsidRDefault="00E32CE0" w:rsidP="00E32CE0">
            <w:pPr>
              <w:spacing w:line="240" w:lineRule="auto"/>
              <w:jc w:val="left"/>
              <w:rPr>
                <w:b/>
                <w:bCs/>
                <w:color w:val="000000"/>
                <w:sz w:val="22"/>
                <w:szCs w:val="22"/>
                <w:lang w:val="en-IN" w:eastAsia="en-IN"/>
              </w:rPr>
            </w:pPr>
            <w:r w:rsidRPr="00E32CE0">
              <w:rPr>
                <w:b/>
                <w:bCs/>
                <w:color w:val="000000"/>
                <w:sz w:val="22"/>
                <w:szCs w:val="22"/>
                <w:lang w:val="en-IN" w:eastAsia="en-IN"/>
              </w:rPr>
              <w:t xml:space="preserve">Total </w:t>
            </w:r>
          </w:p>
        </w:tc>
        <w:tc>
          <w:tcPr>
            <w:tcW w:w="912" w:type="pct"/>
            <w:tcBorders>
              <w:top w:val="nil"/>
              <w:left w:val="nil"/>
              <w:bottom w:val="single" w:sz="4" w:space="0" w:color="auto"/>
              <w:right w:val="single" w:sz="4" w:space="0" w:color="auto"/>
            </w:tcBorders>
            <w:shd w:val="clear" w:color="000000" w:fill="ACB9CA"/>
            <w:noWrap/>
            <w:vAlign w:val="center"/>
            <w:hideMark/>
          </w:tcPr>
          <w:p w:rsidR="00E32CE0" w:rsidRPr="00E32CE0" w:rsidRDefault="00E80398" w:rsidP="00E32CE0">
            <w:pPr>
              <w:spacing w:line="240" w:lineRule="auto"/>
              <w:jc w:val="center"/>
              <w:rPr>
                <w:b/>
                <w:bCs/>
                <w:color w:val="000000"/>
                <w:sz w:val="22"/>
                <w:szCs w:val="22"/>
                <w:lang w:val="en-IN" w:eastAsia="en-IN"/>
              </w:rPr>
            </w:pPr>
            <w:r>
              <w:rPr>
                <w:b/>
                <w:bCs/>
                <w:color w:val="000000"/>
                <w:sz w:val="22"/>
                <w:szCs w:val="22"/>
                <w:lang w:val="en-IN" w:eastAsia="en-IN"/>
              </w:rPr>
              <w:t>722</w:t>
            </w:r>
          </w:p>
        </w:tc>
        <w:tc>
          <w:tcPr>
            <w:tcW w:w="1247" w:type="pct"/>
            <w:tcBorders>
              <w:top w:val="nil"/>
              <w:left w:val="nil"/>
              <w:bottom w:val="single" w:sz="4" w:space="0" w:color="auto"/>
              <w:right w:val="single" w:sz="4" w:space="0" w:color="auto"/>
            </w:tcBorders>
            <w:shd w:val="clear" w:color="000000" w:fill="ACB9CA"/>
            <w:noWrap/>
            <w:vAlign w:val="center"/>
            <w:hideMark/>
          </w:tcPr>
          <w:p w:rsidR="00E32CE0" w:rsidRPr="00E32CE0" w:rsidRDefault="00E32CE0" w:rsidP="00E32CE0">
            <w:pPr>
              <w:spacing w:line="240" w:lineRule="auto"/>
              <w:jc w:val="center"/>
              <w:rPr>
                <w:b/>
                <w:bCs/>
                <w:color w:val="000000"/>
                <w:sz w:val="22"/>
                <w:szCs w:val="22"/>
                <w:lang w:val="en-IN" w:eastAsia="en-IN"/>
              </w:rPr>
            </w:pPr>
            <w:r w:rsidRPr="00E32CE0">
              <w:rPr>
                <w:b/>
                <w:bCs/>
                <w:color w:val="000000"/>
                <w:sz w:val="22"/>
                <w:szCs w:val="22"/>
                <w:lang w:val="en-IN" w:eastAsia="en-IN"/>
              </w:rPr>
              <w:t>201</w:t>
            </w:r>
          </w:p>
        </w:tc>
        <w:tc>
          <w:tcPr>
            <w:tcW w:w="784" w:type="pct"/>
            <w:tcBorders>
              <w:top w:val="nil"/>
              <w:left w:val="nil"/>
              <w:bottom w:val="single" w:sz="4" w:space="0" w:color="auto"/>
              <w:right w:val="single" w:sz="4" w:space="0" w:color="auto"/>
            </w:tcBorders>
            <w:shd w:val="clear" w:color="000000" w:fill="ACB9CA"/>
            <w:noWrap/>
            <w:vAlign w:val="center"/>
            <w:hideMark/>
          </w:tcPr>
          <w:p w:rsidR="00E32CE0" w:rsidRPr="00E32CE0" w:rsidRDefault="00E32CE0" w:rsidP="00E32CE0">
            <w:pPr>
              <w:spacing w:line="240" w:lineRule="auto"/>
              <w:jc w:val="center"/>
              <w:rPr>
                <w:b/>
                <w:bCs/>
                <w:color w:val="000000"/>
                <w:sz w:val="22"/>
                <w:szCs w:val="22"/>
                <w:lang w:val="en-IN" w:eastAsia="en-IN"/>
              </w:rPr>
            </w:pPr>
            <w:r w:rsidRPr="00E32CE0">
              <w:rPr>
                <w:b/>
                <w:bCs/>
                <w:color w:val="000000"/>
                <w:sz w:val="22"/>
                <w:szCs w:val="22"/>
                <w:lang w:val="en-IN" w:eastAsia="en-IN"/>
              </w:rPr>
              <w:t>2154</w:t>
            </w:r>
          </w:p>
        </w:tc>
        <w:tc>
          <w:tcPr>
            <w:tcW w:w="948" w:type="pct"/>
            <w:tcBorders>
              <w:top w:val="nil"/>
              <w:left w:val="nil"/>
              <w:bottom w:val="single" w:sz="4" w:space="0" w:color="auto"/>
              <w:right w:val="single" w:sz="8" w:space="0" w:color="auto"/>
            </w:tcBorders>
            <w:shd w:val="clear" w:color="000000" w:fill="ACB9CA"/>
            <w:noWrap/>
            <w:vAlign w:val="center"/>
            <w:hideMark/>
          </w:tcPr>
          <w:p w:rsidR="00E32CE0" w:rsidRPr="00E32CE0" w:rsidRDefault="00E32CE0" w:rsidP="00E32CE0">
            <w:pPr>
              <w:spacing w:line="240" w:lineRule="auto"/>
              <w:jc w:val="center"/>
              <w:rPr>
                <w:b/>
                <w:bCs/>
                <w:color w:val="000000"/>
                <w:sz w:val="22"/>
                <w:szCs w:val="22"/>
                <w:lang w:val="en-IN" w:eastAsia="en-IN"/>
              </w:rPr>
            </w:pPr>
            <w:r w:rsidRPr="00E32CE0">
              <w:rPr>
                <w:b/>
                <w:bCs/>
                <w:color w:val="000000"/>
                <w:sz w:val="22"/>
                <w:szCs w:val="22"/>
                <w:lang w:val="en-IN" w:eastAsia="en-IN"/>
              </w:rPr>
              <w:t>537</w:t>
            </w:r>
          </w:p>
        </w:tc>
      </w:tr>
      <w:tr w:rsidR="00E32CE0" w:rsidRPr="00E32CE0" w:rsidTr="009A6247">
        <w:trPr>
          <w:trHeight w:val="20"/>
        </w:trPr>
        <w:tc>
          <w:tcPr>
            <w:tcW w:w="3268" w:type="pct"/>
            <w:gridSpan w:val="3"/>
            <w:tcBorders>
              <w:top w:val="single" w:sz="4" w:space="0" w:color="auto"/>
              <w:left w:val="single" w:sz="8" w:space="0" w:color="auto"/>
              <w:bottom w:val="single" w:sz="4" w:space="0" w:color="auto"/>
              <w:right w:val="single" w:sz="4" w:space="0" w:color="auto"/>
            </w:tcBorders>
            <w:shd w:val="clear" w:color="000000" w:fill="44546A"/>
            <w:noWrap/>
            <w:vAlign w:val="center"/>
            <w:hideMark/>
          </w:tcPr>
          <w:p w:rsidR="00E32CE0" w:rsidRPr="00E32CE0" w:rsidRDefault="00E32CE0" w:rsidP="00E32CE0">
            <w:pPr>
              <w:spacing w:line="240" w:lineRule="auto"/>
              <w:jc w:val="left"/>
              <w:rPr>
                <w:b/>
                <w:bCs/>
                <w:color w:val="FFFFFF"/>
                <w:sz w:val="22"/>
                <w:szCs w:val="22"/>
                <w:lang w:val="en-IN" w:eastAsia="en-IN"/>
              </w:rPr>
            </w:pPr>
            <w:r w:rsidRPr="00E32CE0">
              <w:rPr>
                <w:b/>
                <w:bCs/>
                <w:color w:val="FFFFFF"/>
                <w:sz w:val="22"/>
                <w:szCs w:val="22"/>
                <w:lang w:val="en-IN" w:eastAsia="en-IN"/>
              </w:rPr>
              <w:t>Total Number of Transformers</w:t>
            </w:r>
          </w:p>
        </w:tc>
        <w:tc>
          <w:tcPr>
            <w:tcW w:w="784" w:type="pct"/>
            <w:tcBorders>
              <w:top w:val="nil"/>
              <w:left w:val="nil"/>
              <w:bottom w:val="single" w:sz="4" w:space="0" w:color="auto"/>
              <w:right w:val="single" w:sz="4" w:space="0" w:color="auto"/>
            </w:tcBorders>
            <w:shd w:val="clear" w:color="000000" w:fill="44546A"/>
            <w:noWrap/>
            <w:vAlign w:val="center"/>
            <w:hideMark/>
          </w:tcPr>
          <w:p w:rsidR="00E32CE0" w:rsidRPr="00E32CE0" w:rsidRDefault="00E32CE0" w:rsidP="00E32CE0">
            <w:pPr>
              <w:spacing w:line="240" w:lineRule="auto"/>
              <w:jc w:val="center"/>
              <w:rPr>
                <w:b/>
                <w:bCs/>
                <w:color w:val="FFFFFF"/>
                <w:sz w:val="22"/>
                <w:szCs w:val="22"/>
                <w:lang w:val="en-IN" w:eastAsia="en-IN"/>
              </w:rPr>
            </w:pPr>
            <w:r w:rsidRPr="00E32CE0">
              <w:rPr>
                <w:b/>
                <w:bCs/>
                <w:color w:val="FFFFFF"/>
                <w:sz w:val="22"/>
                <w:szCs w:val="22"/>
                <w:lang w:val="en-IN" w:eastAsia="en-IN"/>
              </w:rPr>
              <w:t>Nos.</w:t>
            </w:r>
          </w:p>
        </w:tc>
        <w:tc>
          <w:tcPr>
            <w:tcW w:w="948" w:type="pct"/>
            <w:tcBorders>
              <w:top w:val="nil"/>
              <w:left w:val="nil"/>
              <w:bottom w:val="single" w:sz="4" w:space="0" w:color="auto"/>
              <w:right w:val="single" w:sz="8" w:space="0" w:color="auto"/>
            </w:tcBorders>
            <w:shd w:val="clear" w:color="000000" w:fill="44546A"/>
            <w:noWrap/>
            <w:vAlign w:val="center"/>
            <w:hideMark/>
          </w:tcPr>
          <w:p w:rsidR="00E32CE0" w:rsidRPr="00E32CE0" w:rsidRDefault="00E32CE0" w:rsidP="00E32CE0">
            <w:pPr>
              <w:spacing w:line="240" w:lineRule="auto"/>
              <w:jc w:val="center"/>
              <w:rPr>
                <w:b/>
                <w:bCs/>
                <w:color w:val="FFFFFF"/>
                <w:sz w:val="22"/>
                <w:szCs w:val="22"/>
                <w:lang w:val="en-IN" w:eastAsia="en-IN"/>
              </w:rPr>
            </w:pPr>
            <w:r w:rsidRPr="00E32CE0">
              <w:rPr>
                <w:b/>
                <w:bCs/>
                <w:color w:val="FFFFFF"/>
                <w:sz w:val="22"/>
                <w:szCs w:val="22"/>
                <w:lang w:val="en-IN" w:eastAsia="en-IN"/>
              </w:rPr>
              <w:t>2877</w:t>
            </w:r>
          </w:p>
        </w:tc>
      </w:tr>
      <w:tr w:rsidR="00E32CE0" w:rsidRPr="00E32CE0" w:rsidTr="009A6247">
        <w:trPr>
          <w:trHeight w:val="20"/>
        </w:trPr>
        <w:tc>
          <w:tcPr>
            <w:tcW w:w="3268" w:type="pct"/>
            <w:gridSpan w:val="3"/>
            <w:tcBorders>
              <w:top w:val="single" w:sz="4" w:space="0" w:color="auto"/>
              <w:left w:val="single" w:sz="8" w:space="0" w:color="auto"/>
              <w:bottom w:val="single" w:sz="8" w:space="0" w:color="auto"/>
              <w:right w:val="single" w:sz="4" w:space="0" w:color="auto"/>
            </w:tcBorders>
            <w:shd w:val="clear" w:color="000000" w:fill="44546A"/>
            <w:noWrap/>
            <w:vAlign w:val="center"/>
            <w:hideMark/>
          </w:tcPr>
          <w:p w:rsidR="00E32CE0" w:rsidRPr="00E32CE0" w:rsidRDefault="00E32CE0" w:rsidP="00E32CE0">
            <w:pPr>
              <w:spacing w:line="240" w:lineRule="auto"/>
              <w:jc w:val="left"/>
              <w:rPr>
                <w:b/>
                <w:bCs/>
                <w:color w:val="FFFFFF"/>
                <w:sz w:val="22"/>
                <w:szCs w:val="22"/>
                <w:lang w:val="en-IN" w:eastAsia="en-IN"/>
              </w:rPr>
            </w:pPr>
            <w:r w:rsidRPr="00E32CE0">
              <w:rPr>
                <w:b/>
                <w:bCs/>
                <w:color w:val="FFFFFF"/>
                <w:sz w:val="22"/>
                <w:szCs w:val="22"/>
                <w:lang w:val="en-IN" w:eastAsia="en-IN"/>
              </w:rPr>
              <w:t>Capacity</w:t>
            </w:r>
          </w:p>
        </w:tc>
        <w:tc>
          <w:tcPr>
            <w:tcW w:w="784" w:type="pct"/>
            <w:tcBorders>
              <w:top w:val="nil"/>
              <w:left w:val="nil"/>
              <w:bottom w:val="single" w:sz="8" w:space="0" w:color="auto"/>
              <w:right w:val="single" w:sz="4" w:space="0" w:color="auto"/>
            </w:tcBorders>
            <w:shd w:val="clear" w:color="000000" w:fill="44546A"/>
            <w:noWrap/>
            <w:vAlign w:val="center"/>
            <w:hideMark/>
          </w:tcPr>
          <w:p w:rsidR="00E32CE0" w:rsidRPr="00E32CE0" w:rsidRDefault="00E32CE0" w:rsidP="00E32CE0">
            <w:pPr>
              <w:spacing w:line="240" w:lineRule="auto"/>
              <w:jc w:val="center"/>
              <w:rPr>
                <w:b/>
                <w:bCs/>
                <w:color w:val="FFFFFF"/>
                <w:sz w:val="22"/>
                <w:szCs w:val="22"/>
                <w:lang w:val="en-IN" w:eastAsia="en-IN"/>
              </w:rPr>
            </w:pPr>
            <w:r w:rsidRPr="00E32CE0">
              <w:rPr>
                <w:b/>
                <w:bCs/>
                <w:color w:val="FFFFFF"/>
                <w:sz w:val="22"/>
                <w:szCs w:val="22"/>
                <w:lang w:val="en-IN" w:eastAsia="en-IN"/>
              </w:rPr>
              <w:t>MVA</w:t>
            </w:r>
          </w:p>
        </w:tc>
        <w:tc>
          <w:tcPr>
            <w:tcW w:w="948" w:type="pct"/>
            <w:tcBorders>
              <w:top w:val="nil"/>
              <w:left w:val="nil"/>
              <w:bottom w:val="single" w:sz="8" w:space="0" w:color="auto"/>
              <w:right w:val="single" w:sz="8" w:space="0" w:color="auto"/>
            </w:tcBorders>
            <w:shd w:val="clear" w:color="000000" w:fill="44546A"/>
            <w:noWrap/>
            <w:vAlign w:val="center"/>
            <w:hideMark/>
          </w:tcPr>
          <w:p w:rsidR="00E32CE0" w:rsidRPr="00E32CE0" w:rsidRDefault="00E32CE0" w:rsidP="00E32CE0">
            <w:pPr>
              <w:spacing w:line="240" w:lineRule="auto"/>
              <w:jc w:val="center"/>
              <w:rPr>
                <w:b/>
                <w:bCs/>
                <w:color w:val="FFFFFF"/>
                <w:sz w:val="22"/>
                <w:szCs w:val="22"/>
                <w:lang w:val="en-IN" w:eastAsia="en-IN"/>
              </w:rPr>
            </w:pPr>
            <w:r w:rsidRPr="00E32CE0">
              <w:rPr>
                <w:b/>
                <w:bCs/>
                <w:color w:val="FFFFFF"/>
                <w:sz w:val="22"/>
                <w:szCs w:val="22"/>
                <w:lang w:val="en-IN" w:eastAsia="en-IN"/>
              </w:rPr>
              <w:t>738</w:t>
            </w:r>
          </w:p>
        </w:tc>
      </w:tr>
    </w:tbl>
    <w:p w:rsidR="005D625B" w:rsidRPr="005D625B" w:rsidRDefault="005D625B" w:rsidP="005D625B">
      <w:pPr>
        <w:jc w:val="center"/>
        <w:rPr>
          <w:rFonts w:eastAsia="Calibri"/>
        </w:rPr>
      </w:pPr>
    </w:p>
    <w:bookmarkEnd w:id="55"/>
    <w:p w:rsidR="003F4524" w:rsidRDefault="003F4524" w:rsidP="003F4524">
      <w:pPr>
        <w:pStyle w:val="ED-H3"/>
      </w:pPr>
      <w:r w:rsidRPr="00B134EE">
        <w:t>Power to Puducherry region is fed through three numbers of 230</w:t>
      </w:r>
      <w:r w:rsidR="00C4243A">
        <w:t>/</w:t>
      </w:r>
      <w:r w:rsidRPr="00B134EE">
        <w:t xml:space="preserve">110kV Auto-Sub Stations with total installed capacity of 560MVA. </w:t>
      </w:r>
      <w:r>
        <w:t>10 number of</w:t>
      </w:r>
      <w:r w:rsidRPr="00B134EE">
        <w:t xml:space="preserve"> 110/22kV Sub Stations wit</w:t>
      </w:r>
      <w:r>
        <w:t xml:space="preserve">h a total installed capacity of 469 </w:t>
      </w:r>
      <w:r w:rsidRPr="00B134EE">
        <w:t>MVA are connected to the above auto-Sub Stations.</w:t>
      </w:r>
    </w:p>
    <w:p w:rsidR="003F4524" w:rsidRPr="000F65DB" w:rsidRDefault="003F4524" w:rsidP="003F4524">
      <w:pPr>
        <w:pStyle w:val="EDNormal"/>
      </w:pPr>
    </w:p>
    <w:p w:rsidR="003F4524" w:rsidRPr="00CB27B3" w:rsidRDefault="003F4524" w:rsidP="003F4524">
      <w:pPr>
        <w:pStyle w:val="ED-H3"/>
      </w:pPr>
      <w:r w:rsidRPr="00CB27B3">
        <w:t>Power to Karaikal region is fed through two numbers of the 110/11kV Sub Station with an installed capacity of 80 MVA owned by PED and one number of the 110/11kV Sub Station owned by PPCL with an installed capacity of 30 MVA.</w:t>
      </w:r>
    </w:p>
    <w:p w:rsidR="003F4524" w:rsidRPr="00CB27B3" w:rsidRDefault="003F4524" w:rsidP="003F4524">
      <w:pPr>
        <w:pStyle w:val="EDNormal"/>
      </w:pPr>
    </w:p>
    <w:p w:rsidR="003F4524" w:rsidRDefault="003F4524" w:rsidP="003F4524">
      <w:pPr>
        <w:pStyle w:val="ED-H3"/>
      </w:pPr>
      <w:r w:rsidRPr="00CB27B3">
        <w:t>In Mahe, there is one 110/11kV Sub Station of capacity 20 MVA</w:t>
      </w:r>
      <w:r w:rsidRPr="00B134EE">
        <w:t xml:space="preserve"> and in Yanam region, there is one 132/33-11kV Sub Station of capacity 36MVA and one 33/11kV Sub Station of 10MVA capacity.</w:t>
      </w:r>
    </w:p>
    <w:p w:rsidR="003F4524" w:rsidRPr="00B134EE" w:rsidRDefault="003F4524" w:rsidP="003F4524">
      <w:pPr>
        <w:pStyle w:val="EDNormal"/>
      </w:pPr>
    </w:p>
    <w:p w:rsidR="003F4524" w:rsidRPr="004D4C79" w:rsidRDefault="003F4524" w:rsidP="003F4524">
      <w:pPr>
        <w:pStyle w:val="ED-H3"/>
      </w:pPr>
      <w:r w:rsidRPr="00B134EE">
        <w:t xml:space="preserve">The Transmission and Distribution Losses and the AT&amp;C Losses are comparatively lower </w:t>
      </w:r>
      <w:r w:rsidRPr="004D4C79">
        <w:t>than that in many of the other states and Union Territories. The AT&amp;C Loss and Transmission &amp; Distribution loss of the system is estimated to be around 18.96% and 13.78% for FY2016-17.</w:t>
      </w:r>
    </w:p>
    <w:p w:rsidR="003F4524" w:rsidRPr="00B134EE" w:rsidRDefault="003F4524" w:rsidP="003F4524">
      <w:pPr>
        <w:pStyle w:val="EDNormal"/>
      </w:pPr>
    </w:p>
    <w:p w:rsidR="003F4524" w:rsidRDefault="003F4524" w:rsidP="003F4524">
      <w:pPr>
        <w:pStyle w:val="ED-H3"/>
      </w:pPr>
      <w:r w:rsidRPr="00B134EE">
        <w:lastRenderedPageBreak/>
        <w:t>The Government of Puducherry has initiated the process of Power Sector reforms in the Union Territory. The objectives of Power Sector Reform program are to achieve sustainable development by promoting competition, efficiency &amp; transparency to result in quality, reliable power supply to all consumers at affordable cost and to make the power sector commercially viable. The power utilities all over the country have taken up institutional strengthening through sustainable initiatives in a systematic &amp; focused approach.</w:t>
      </w:r>
    </w:p>
    <w:p w:rsidR="003F4524" w:rsidRPr="002B4B9D" w:rsidRDefault="003F4524" w:rsidP="003F4524">
      <w:pPr>
        <w:pStyle w:val="EDNormal"/>
        <w:rPr>
          <w:lang w:bidi="hi-IN"/>
        </w:rPr>
      </w:pPr>
    </w:p>
    <w:p w:rsidR="00337C5E" w:rsidRDefault="00376780" w:rsidP="009A6247">
      <w:pPr>
        <w:pStyle w:val="ED-H2"/>
      </w:pPr>
      <w:bookmarkStart w:id="57" w:name="_Toc523724472"/>
      <w:r w:rsidRPr="009B0F9F">
        <w:t>Organisational Structure</w:t>
      </w:r>
      <w:bookmarkEnd w:id="57"/>
    </w:p>
    <w:p w:rsidR="00337C5E" w:rsidRDefault="006528AF">
      <w:pPr>
        <w:pStyle w:val="EDNormal"/>
        <w:ind w:left="864"/>
      </w:pPr>
      <w:r>
        <w:t>PED</w:t>
      </w:r>
      <w:r w:rsidR="00376780" w:rsidRPr="009B0F9F">
        <w:t xml:space="preserve"> is divided into three circles each headed by an officer in the rank of Superintending Engineer. The Superintending Engineer - I (Head of circle I) is also the Head of the Department. The three circles consist of totally ten (10) Technical Divisions and one Finance Division. Each Technical Division is headed by an Executive Engineer and the Finance Division is headed by Financial Controller. Each Division consists of three to seven Sub Divisions. Sub Division offices are headed by Assistant Engineer. There are forty one Sub Division offices and they act as the link between the Divisional office and the field offices consisting of Sections headed by Junior Engineers. Section office is the direct customer facing unit and plays a key role in consumer satisfaction. In addition to the O&amp;M Sub Division, a Revenue Section headed by a Junior Accounts Officer exists to take care of all revenue related activities for the division.</w:t>
      </w:r>
    </w:p>
    <w:p w:rsidR="00041E40" w:rsidRDefault="00ED73A6" w:rsidP="00061AA6">
      <w:pPr>
        <w:pStyle w:val="Caption"/>
      </w:pPr>
      <w:bookmarkStart w:id="58" w:name="_Toc398579417"/>
      <w:bookmarkStart w:id="59" w:name="_Toc523725621"/>
      <w:r w:rsidRPr="00ED73A6">
        <w:lastRenderedPageBreak/>
        <w:t xml:space="preserve">Figure </w:t>
      </w:r>
      <w:r w:rsidR="00140E1B">
        <w:fldChar w:fldCharType="begin"/>
      </w:r>
      <w:r w:rsidR="00C94F42">
        <w:instrText xml:space="preserve"> SEQ Figure \* ARABIC </w:instrText>
      </w:r>
      <w:r w:rsidR="00140E1B">
        <w:fldChar w:fldCharType="separate"/>
      </w:r>
      <w:r w:rsidR="004B7EE5">
        <w:rPr>
          <w:noProof/>
        </w:rPr>
        <w:t>6</w:t>
      </w:r>
      <w:r w:rsidR="00140E1B">
        <w:rPr>
          <w:noProof/>
        </w:rPr>
        <w:fldChar w:fldCharType="end"/>
      </w:r>
      <w:r w:rsidR="00037311" w:rsidRPr="00ED73A6">
        <w:t xml:space="preserve">: Organisational chart of </w:t>
      </w:r>
      <w:r w:rsidR="006528AF">
        <w:t>PED</w:t>
      </w:r>
      <w:bookmarkEnd w:id="58"/>
      <w:r w:rsidR="003B5F26">
        <w:rPr>
          <w:rStyle w:val="FootnoteReference"/>
        </w:rPr>
        <w:footnoteReference w:id="2"/>
      </w:r>
      <w:bookmarkEnd w:id="59"/>
    </w:p>
    <w:p w:rsidR="00376780" w:rsidRPr="00860A39" w:rsidRDefault="00FD081A" w:rsidP="0004352D">
      <w:pPr>
        <w:pStyle w:val="EDNormal"/>
        <w:ind w:left="-720"/>
        <w:jc w:val="center"/>
      </w:pPr>
      <w:r w:rsidRPr="00FD081A">
        <w:rPr>
          <w:noProof/>
          <w:lang w:val="en-US"/>
        </w:rPr>
        <w:drawing>
          <wp:inline distT="0" distB="0" distL="0" distR="0">
            <wp:extent cx="6714971" cy="75674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14971" cy="7567448"/>
                    </a:xfrm>
                    <a:prstGeom prst="rect">
                      <a:avLst/>
                    </a:prstGeom>
                    <a:noFill/>
                    <a:ln>
                      <a:noFill/>
                    </a:ln>
                  </pic:spPr>
                </pic:pic>
              </a:graphicData>
            </a:graphic>
          </wp:inline>
        </w:drawing>
      </w:r>
    </w:p>
    <w:p w:rsidR="000103C7" w:rsidRDefault="000103C7" w:rsidP="000103C7">
      <w:pPr>
        <w:pStyle w:val="ED-H2"/>
      </w:pPr>
      <w:bookmarkStart w:id="60" w:name="_Toc523560495"/>
      <w:bookmarkStart w:id="61" w:name="_Toc523724473"/>
      <w:r w:rsidRPr="00105F99">
        <w:rPr>
          <w:rFonts w:asciiTheme="minorHAnsi" w:hAnsiTheme="minorHAnsi" w:cstheme="minorHAnsi"/>
          <w:szCs w:val="24"/>
        </w:rPr>
        <w:lastRenderedPageBreak/>
        <w:t>Operation and Maintenance Functions</w:t>
      </w:r>
      <w:bookmarkEnd w:id="60"/>
      <w:bookmarkEnd w:id="61"/>
    </w:p>
    <w:p w:rsidR="000103C7" w:rsidRPr="00A4527C" w:rsidRDefault="000103C7" w:rsidP="000103C7">
      <w:pPr>
        <w:pStyle w:val="ListParagraph"/>
        <w:numPr>
          <w:ilvl w:val="0"/>
          <w:numId w:val="7"/>
        </w:numPr>
        <w:rPr>
          <w:rFonts w:asciiTheme="minorHAnsi" w:hAnsiTheme="minorHAnsi" w:cstheme="minorHAnsi"/>
          <w:b/>
          <w:bCs/>
          <w:u w:val="single"/>
        </w:rPr>
      </w:pPr>
      <w:r w:rsidRPr="00A4527C">
        <w:rPr>
          <w:rFonts w:asciiTheme="minorHAnsi" w:hAnsiTheme="minorHAnsi" w:cstheme="minorHAnsi"/>
          <w:b/>
          <w:bCs/>
          <w:u w:val="single"/>
        </w:rPr>
        <w:t>Distribution Network:</w:t>
      </w:r>
    </w:p>
    <w:p w:rsidR="000103C7" w:rsidRPr="00A4527C" w:rsidRDefault="000103C7" w:rsidP="000103C7">
      <w:pPr>
        <w:pStyle w:val="EDNormal"/>
        <w:ind w:left="1080"/>
        <w:rPr>
          <w:rFonts w:asciiTheme="minorHAnsi" w:hAnsiTheme="minorHAnsi" w:cstheme="minorHAnsi"/>
          <w:szCs w:val="24"/>
        </w:rPr>
      </w:pPr>
      <w:r w:rsidRPr="00A4527C">
        <w:rPr>
          <w:rFonts w:asciiTheme="minorHAnsi" w:hAnsiTheme="minorHAnsi" w:cstheme="minorHAnsi"/>
          <w:szCs w:val="24"/>
        </w:rPr>
        <w:t>In the existing set up, Distribution O&amp;M is handled by Divisi</w:t>
      </w:r>
      <w:r>
        <w:rPr>
          <w:rFonts w:asciiTheme="minorHAnsi" w:hAnsiTheme="minorHAnsi" w:cstheme="minorHAnsi"/>
          <w:szCs w:val="24"/>
        </w:rPr>
        <w:t>ons - Urban</w:t>
      </w:r>
      <w:r w:rsidRPr="00A4527C">
        <w:rPr>
          <w:rFonts w:asciiTheme="minorHAnsi" w:hAnsiTheme="minorHAnsi" w:cstheme="minorHAnsi"/>
          <w:szCs w:val="24"/>
        </w:rPr>
        <w:t xml:space="preserve">, </w:t>
      </w:r>
      <w:r>
        <w:rPr>
          <w:rFonts w:asciiTheme="minorHAnsi" w:hAnsiTheme="minorHAnsi" w:cstheme="minorHAnsi"/>
          <w:szCs w:val="24"/>
        </w:rPr>
        <w:t xml:space="preserve">Rural North </w:t>
      </w:r>
      <w:r w:rsidRPr="00A4527C">
        <w:rPr>
          <w:rFonts w:asciiTheme="minorHAnsi" w:hAnsiTheme="minorHAnsi" w:cstheme="minorHAnsi"/>
          <w:szCs w:val="24"/>
        </w:rPr>
        <w:t xml:space="preserve">and </w:t>
      </w:r>
      <w:r>
        <w:rPr>
          <w:rFonts w:asciiTheme="minorHAnsi" w:hAnsiTheme="minorHAnsi" w:cstheme="minorHAnsi"/>
          <w:szCs w:val="24"/>
        </w:rPr>
        <w:t>Rural South</w:t>
      </w:r>
      <w:r w:rsidRPr="00A4527C">
        <w:rPr>
          <w:rFonts w:asciiTheme="minorHAnsi" w:hAnsiTheme="minorHAnsi" w:cstheme="minorHAnsi"/>
          <w:szCs w:val="24"/>
        </w:rPr>
        <w:t xml:space="preserve"> fo</w:t>
      </w:r>
      <w:r>
        <w:rPr>
          <w:rFonts w:asciiTheme="minorHAnsi" w:hAnsiTheme="minorHAnsi" w:cstheme="minorHAnsi"/>
          <w:szCs w:val="24"/>
        </w:rPr>
        <w:t>r Puducherry region, Division – Cables &amp; TTC</w:t>
      </w:r>
      <w:r w:rsidRPr="00A4527C">
        <w:rPr>
          <w:rFonts w:asciiTheme="minorHAnsi" w:hAnsiTheme="minorHAnsi" w:cstheme="minorHAnsi"/>
          <w:szCs w:val="24"/>
        </w:rPr>
        <w:t xml:space="preserve"> for Yanam region, Division</w:t>
      </w:r>
      <w:r>
        <w:rPr>
          <w:rFonts w:asciiTheme="minorHAnsi" w:hAnsiTheme="minorHAnsi" w:cstheme="minorHAnsi"/>
          <w:szCs w:val="24"/>
        </w:rPr>
        <w:t xml:space="preserve"> – SPM &amp; Buildings</w:t>
      </w:r>
      <w:r w:rsidRPr="00A4527C">
        <w:rPr>
          <w:rFonts w:asciiTheme="minorHAnsi" w:hAnsiTheme="minorHAnsi" w:cstheme="minorHAnsi"/>
          <w:szCs w:val="24"/>
        </w:rPr>
        <w:t xml:space="preserve"> for Mahe region and Division </w:t>
      </w:r>
      <w:r>
        <w:rPr>
          <w:rFonts w:asciiTheme="minorHAnsi" w:hAnsiTheme="minorHAnsi" w:cstheme="minorHAnsi"/>
          <w:szCs w:val="24"/>
        </w:rPr>
        <w:t>- Karaikal</w:t>
      </w:r>
      <w:r w:rsidRPr="00A4527C">
        <w:rPr>
          <w:rFonts w:asciiTheme="minorHAnsi" w:hAnsiTheme="minorHAnsi" w:cstheme="minorHAnsi"/>
          <w:szCs w:val="24"/>
        </w:rPr>
        <w:t xml:space="preserve"> for Karaikal region. The main activities falling under O&amp;M of distribution Divisions are:</w:t>
      </w:r>
    </w:p>
    <w:p w:rsidR="000103C7" w:rsidRPr="00A4527C" w:rsidRDefault="000103C7" w:rsidP="000103C7">
      <w:pPr>
        <w:pStyle w:val="EDNormal"/>
        <w:numPr>
          <w:ilvl w:val="0"/>
          <w:numId w:val="8"/>
        </w:numPr>
        <w:rPr>
          <w:rFonts w:asciiTheme="minorHAnsi" w:hAnsiTheme="minorHAnsi" w:cstheme="minorHAnsi"/>
          <w:szCs w:val="24"/>
        </w:rPr>
      </w:pPr>
      <w:r w:rsidRPr="00A4527C">
        <w:rPr>
          <w:rFonts w:asciiTheme="minorHAnsi" w:hAnsiTheme="minorHAnsi" w:cstheme="minorHAnsi"/>
          <w:szCs w:val="24"/>
        </w:rPr>
        <w:t>Operation and Maintenance of 110/22-11 KV EHT SubStations</w:t>
      </w:r>
    </w:p>
    <w:p w:rsidR="000103C7" w:rsidRPr="004F7CAB" w:rsidRDefault="000103C7" w:rsidP="004F7CAB">
      <w:pPr>
        <w:pStyle w:val="EDNormal"/>
        <w:numPr>
          <w:ilvl w:val="0"/>
          <w:numId w:val="8"/>
        </w:numPr>
        <w:rPr>
          <w:rFonts w:asciiTheme="minorHAnsi" w:hAnsiTheme="minorHAnsi" w:cstheme="minorHAnsi"/>
          <w:szCs w:val="24"/>
        </w:rPr>
      </w:pPr>
      <w:r w:rsidRPr="00A4527C">
        <w:rPr>
          <w:rFonts w:asciiTheme="minorHAnsi" w:hAnsiTheme="minorHAnsi" w:cstheme="minorHAnsi"/>
          <w:szCs w:val="24"/>
        </w:rPr>
        <w:t>Providing needed supply to consumers of various categories like domestic,</w:t>
      </w:r>
      <w:r w:rsidRPr="004F7CAB">
        <w:rPr>
          <w:rFonts w:asciiTheme="minorHAnsi" w:hAnsiTheme="minorHAnsi" w:cstheme="minorHAnsi"/>
          <w:szCs w:val="24"/>
        </w:rPr>
        <w:t>Commercial, industry, (HT, LT) Street</w:t>
      </w:r>
      <w:r w:rsidR="004F7CAB">
        <w:rPr>
          <w:rFonts w:asciiTheme="minorHAnsi" w:hAnsiTheme="minorHAnsi" w:cstheme="minorHAnsi"/>
          <w:szCs w:val="24"/>
        </w:rPr>
        <w:t xml:space="preserve"> Lights, agriculture and others</w:t>
      </w:r>
    </w:p>
    <w:p w:rsidR="000103C7" w:rsidRPr="004F7CAB" w:rsidRDefault="000103C7" w:rsidP="004F7CAB">
      <w:pPr>
        <w:pStyle w:val="EDNormal"/>
        <w:numPr>
          <w:ilvl w:val="0"/>
          <w:numId w:val="8"/>
        </w:numPr>
        <w:rPr>
          <w:rFonts w:asciiTheme="minorHAnsi" w:hAnsiTheme="minorHAnsi" w:cstheme="minorHAnsi"/>
          <w:szCs w:val="24"/>
        </w:rPr>
      </w:pPr>
      <w:r w:rsidRPr="00A4527C">
        <w:rPr>
          <w:rFonts w:asciiTheme="minorHAnsi" w:hAnsiTheme="minorHAnsi" w:cstheme="minorHAnsi"/>
          <w:szCs w:val="24"/>
        </w:rPr>
        <w:t>Maintenance of quality power supply, which includes Breakdown and</w:t>
      </w:r>
      <w:r w:rsidRPr="004F7CAB">
        <w:rPr>
          <w:rFonts w:asciiTheme="minorHAnsi" w:hAnsiTheme="minorHAnsi" w:cstheme="minorHAnsi"/>
          <w:szCs w:val="24"/>
        </w:rPr>
        <w:t>Preventive maintenance of , DTRs, overhead lines and cables, managingBreakdowns and fuse off calls</w:t>
      </w:r>
    </w:p>
    <w:p w:rsidR="000103C7" w:rsidRPr="00A4527C" w:rsidRDefault="000103C7" w:rsidP="000103C7">
      <w:pPr>
        <w:pStyle w:val="EDNormal"/>
        <w:numPr>
          <w:ilvl w:val="0"/>
          <w:numId w:val="8"/>
        </w:numPr>
        <w:rPr>
          <w:rFonts w:asciiTheme="minorHAnsi" w:hAnsiTheme="minorHAnsi" w:cstheme="minorHAnsi"/>
          <w:szCs w:val="24"/>
        </w:rPr>
      </w:pPr>
      <w:r w:rsidRPr="00A4527C">
        <w:rPr>
          <w:rFonts w:asciiTheme="minorHAnsi" w:hAnsiTheme="minorHAnsi" w:cstheme="minorHAnsi"/>
          <w:szCs w:val="24"/>
        </w:rPr>
        <w:t>Accurate met</w:t>
      </w:r>
      <w:r w:rsidR="004F7CAB">
        <w:rPr>
          <w:rFonts w:asciiTheme="minorHAnsi" w:hAnsiTheme="minorHAnsi" w:cstheme="minorHAnsi"/>
          <w:szCs w:val="24"/>
        </w:rPr>
        <w:t>ering</w:t>
      </w:r>
    </w:p>
    <w:p w:rsidR="000103C7" w:rsidRPr="00A4527C" w:rsidRDefault="004F7CAB" w:rsidP="000103C7">
      <w:pPr>
        <w:pStyle w:val="EDNormal"/>
        <w:numPr>
          <w:ilvl w:val="0"/>
          <w:numId w:val="8"/>
        </w:numPr>
        <w:rPr>
          <w:rFonts w:asciiTheme="minorHAnsi" w:hAnsiTheme="minorHAnsi" w:cstheme="minorHAnsi"/>
          <w:szCs w:val="24"/>
        </w:rPr>
      </w:pPr>
      <w:r>
        <w:rPr>
          <w:rFonts w:asciiTheme="minorHAnsi" w:hAnsiTheme="minorHAnsi" w:cstheme="minorHAnsi"/>
          <w:szCs w:val="24"/>
        </w:rPr>
        <w:t>Prompt billing</w:t>
      </w:r>
    </w:p>
    <w:p w:rsidR="000103C7" w:rsidRPr="00A4527C" w:rsidRDefault="004F7CAB" w:rsidP="000103C7">
      <w:pPr>
        <w:pStyle w:val="EDNormal"/>
        <w:numPr>
          <w:ilvl w:val="0"/>
          <w:numId w:val="8"/>
        </w:numPr>
        <w:rPr>
          <w:rFonts w:asciiTheme="minorHAnsi" w:hAnsiTheme="minorHAnsi" w:cstheme="minorHAnsi"/>
          <w:szCs w:val="24"/>
        </w:rPr>
      </w:pPr>
      <w:r>
        <w:rPr>
          <w:rFonts w:asciiTheme="minorHAnsi" w:hAnsiTheme="minorHAnsi" w:cstheme="minorHAnsi"/>
          <w:szCs w:val="24"/>
        </w:rPr>
        <w:t>Efficient Collections</w:t>
      </w:r>
    </w:p>
    <w:p w:rsidR="000103C7" w:rsidRPr="00A4527C" w:rsidRDefault="000103C7" w:rsidP="000103C7">
      <w:pPr>
        <w:pStyle w:val="EDNormal"/>
        <w:numPr>
          <w:ilvl w:val="0"/>
          <w:numId w:val="8"/>
        </w:numPr>
        <w:rPr>
          <w:rFonts w:asciiTheme="minorHAnsi" w:hAnsiTheme="minorHAnsi" w:cstheme="minorHAnsi"/>
          <w:szCs w:val="24"/>
        </w:rPr>
      </w:pPr>
      <w:r w:rsidRPr="00A4527C">
        <w:rPr>
          <w:rFonts w:asciiTheme="minorHAnsi" w:hAnsiTheme="minorHAnsi" w:cstheme="minorHAnsi"/>
          <w:szCs w:val="24"/>
        </w:rPr>
        <w:t>Cust</w:t>
      </w:r>
      <w:r w:rsidR="004F7CAB">
        <w:rPr>
          <w:rFonts w:asciiTheme="minorHAnsi" w:hAnsiTheme="minorHAnsi" w:cstheme="minorHAnsi"/>
          <w:szCs w:val="24"/>
        </w:rPr>
        <w:t>omer Care and Customer Services</w:t>
      </w:r>
    </w:p>
    <w:p w:rsidR="000103C7" w:rsidRPr="00A4527C" w:rsidRDefault="000103C7" w:rsidP="000103C7">
      <w:pPr>
        <w:pStyle w:val="EDNormal"/>
        <w:numPr>
          <w:ilvl w:val="0"/>
          <w:numId w:val="8"/>
        </w:numPr>
        <w:rPr>
          <w:rFonts w:asciiTheme="minorHAnsi" w:hAnsiTheme="minorHAnsi" w:cstheme="minorHAnsi"/>
          <w:szCs w:val="24"/>
        </w:rPr>
      </w:pPr>
      <w:r w:rsidRPr="00A4527C">
        <w:rPr>
          <w:rFonts w:asciiTheme="minorHAnsi" w:hAnsiTheme="minorHAnsi" w:cstheme="minorHAnsi"/>
          <w:szCs w:val="24"/>
        </w:rPr>
        <w:t>Planning for improvement works</w:t>
      </w:r>
    </w:p>
    <w:p w:rsidR="000103C7" w:rsidRPr="00A4527C" w:rsidRDefault="000103C7" w:rsidP="000103C7">
      <w:pPr>
        <w:pStyle w:val="EDNormal"/>
        <w:numPr>
          <w:ilvl w:val="0"/>
          <w:numId w:val="8"/>
        </w:numPr>
        <w:rPr>
          <w:rFonts w:asciiTheme="minorHAnsi" w:hAnsiTheme="minorHAnsi" w:cstheme="minorHAnsi"/>
          <w:szCs w:val="24"/>
        </w:rPr>
      </w:pPr>
      <w:r w:rsidRPr="00A4527C">
        <w:rPr>
          <w:rFonts w:asciiTheme="minorHAnsi" w:hAnsiTheme="minorHAnsi" w:cstheme="minorHAnsi"/>
          <w:szCs w:val="24"/>
        </w:rPr>
        <w:t>HT Meter reading (by JE)</w:t>
      </w:r>
    </w:p>
    <w:p w:rsidR="000103C7" w:rsidRDefault="000103C7" w:rsidP="000103C7">
      <w:pPr>
        <w:pStyle w:val="EDNormal"/>
        <w:numPr>
          <w:ilvl w:val="0"/>
          <w:numId w:val="8"/>
        </w:numPr>
        <w:rPr>
          <w:rFonts w:asciiTheme="minorHAnsi" w:hAnsiTheme="minorHAnsi" w:cstheme="minorHAnsi"/>
          <w:szCs w:val="24"/>
        </w:rPr>
      </w:pPr>
      <w:r w:rsidRPr="00A4527C">
        <w:rPr>
          <w:rFonts w:asciiTheme="minorHAnsi" w:hAnsiTheme="minorHAnsi" w:cstheme="minorHAnsi"/>
          <w:szCs w:val="24"/>
        </w:rPr>
        <w:t>Identi</w:t>
      </w:r>
      <w:r w:rsidR="004F7CAB">
        <w:rPr>
          <w:rFonts w:asciiTheme="minorHAnsi" w:hAnsiTheme="minorHAnsi" w:cstheme="minorHAnsi"/>
          <w:szCs w:val="24"/>
        </w:rPr>
        <w:t>fication of pilferage and theft</w:t>
      </w:r>
    </w:p>
    <w:p w:rsidR="000103C7" w:rsidRPr="00B50EE6" w:rsidRDefault="000103C7" w:rsidP="000103C7">
      <w:pPr>
        <w:pStyle w:val="EDNormal"/>
        <w:ind w:left="1080"/>
        <w:rPr>
          <w:rFonts w:asciiTheme="minorHAnsi" w:hAnsiTheme="minorHAnsi" w:cstheme="minorHAnsi"/>
          <w:bCs/>
          <w:szCs w:val="24"/>
        </w:rPr>
      </w:pPr>
      <w:r w:rsidRPr="001A29BC">
        <w:rPr>
          <w:rFonts w:asciiTheme="minorHAnsi" w:hAnsiTheme="minorHAnsi" w:cstheme="minorHAnsi"/>
          <w:bCs/>
          <w:szCs w:val="24"/>
        </w:rPr>
        <w:t>The Urban O&amp;M Division is additionally entrusted with the execution of RAPDRP – Part A SCADA project and Smart Grid Pilot Project.</w:t>
      </w:r>
    </w:p>
    <w:p w:rsidR="000103C7" w:rsidRPr="00A4527C" w:rsidRDefault="000103C7" w:rsidP="000103C7">
      <w:pPr>
        <w:pStyle w:val="EDNormal"/>
        <w:rPr>
          <w:rFonts w:asciiTheme="minorHAnsi" w:hAnsiTheme="minorHAnsi" w:cstheme="minorHAnsi"/>
          <w:szCs w:val="24"/>
        </w:rPr>
      </w:pPr>
    </w:p>
    <w:p w:rsidR="000103C7" w:rsidRPr="00A4527C" w:rsidRDefault="000103C7" w:rsidP="000103C7">
      <w:pPr>
        <w:pStyle w:val="ListParagraph"/>
        <w:numPr>
          <w:ilvl w:val="0"/>
          <w:numId w:val="7"/>
        </w:numPr>
        <w:rPr>
          <w:rFonts w:asciiTheme="minorHAnsi" w:hAnsiTheme="minorHAnsi" w:cstheme="minorHAnsi"/>
          <w:b/>
          <w:bCs/>
          <w:u w:val="single"/>
        </w:rPr>
      </w:pPr>
      <w:r w:rsidRPr="00A4527C">
        <w:rPr>
          <w:rFonts w:asciiTheme="minorHAnsi" w:hAnsiTheme="minorHAnsi" w:cstheme="minorHAnsi"/>
          <w:b/>
          <w:bCs/>
          <w:u w:val="single"/>
        </w:rPr>
        <w:t>Auto Sub-Stations:</w:t>
      </w:r>
    </w:p>
    <w:p w:rsidR="000103C7" w:rsidRPr="00A4527C" w:rsidRDefault="000103C7" w:rsidP="000103C7">
      <w:pPr>
        <w:pStyle w:val="EDNormal"/>
        <w:ind w:left="1080"/>
        <w:rPr>
          <w:rFonts w:asciiTheme="minorHAnsi" w:hAnsiTheme="minorHAnsi" w:cstheme="minorHAnsi"/>
          <w:szCs w:val="24"/>
        </w:rPr>
      </w:pPr>
      <w:r w:rsidRPr="00A4527C">
        <w:rPr>
          <w:rFonts w:asciiTheme="minorHAnsi" w:hAnsiTheme="minorHAnsi" w:cstheme="minorHAnsi"/>
          <w:szCs w:val="24"/>
        </w:rPr>
        <w:t xml:space="preserve">In the existing set up, Operation and Maintenance of Auto Sub Stations is handled by Division </w:t>
      </w:r>
      <w:r>
        <w:rPr>
          <w:rFonts w:asciiTheme="minorHAnsi" w:hAnsiTheme="minorHAnsi" w:cstheme="minorHAnsi"/>
          <w:szCs w:val="24"/>
        </w:rPr>
        <w:t>– Auto SS</w:t>
      </w:r>
      <w:r w:rsidRPr="00A4527C">
        <w:rPr>
          <w:rFonts w:asciiTheme="minorHAnsi" w:hAnsiTheme="minorHAnsi" w:cstheme="minorHAnsi"/>
          <w:szCs w:val="24"/>
        </w:rPr>
        <w:t xml:space="preserve"> and is headed by an Executive Engineer at the Division leve</w:t>
      </w:r>
      <w:r>
        <w:rPr>
          <w:rFonts w:asciiTheme="minorHAnsi" w:hAnsiTheme="minorHAnsi" w:cstheme="minorHAnsi"/>
          <w:szCs w:val="24"/>
        </w:rPr>
        <w:t xml:space="preserve">l. The division comprises of three 230/110 KV Sub-Stations at Villianur, </w:t>
      </w:r>
      <w:r w:rsidRPr="00A4527C">
        <w:rPr>
          <w:rFonts w:asciiTheme="minorHAnsi" w:hAnsiTheme="minorHAnsi" w:cstheme="minorHAnsi"/>
          <w:szCs w:val="24"/>
        </w:rPr>
        <w:t>Bahour</w:t>
      </w:r>
      <w:r>
        <w:rPr>
          <w:rFonts w:asciiTheme="minorHAnsi" w:hAnsiTheme="minorHAnsi" w:cstheme="minorHAnsi"/>
          <w:szCs w:val="24"/>
        </w:rPr>
        <w:t xml:space="preserve"> and Thondamanatham</w:t>
      </w:r>
      <w:r w:rsidRPr="00A4527C">
        <w:rPr>
          <w:rFonts w:asciiTheme="minorHAnsi" w:hAnsiTheme="minorHAnsi" w:cstheme="minorHAnsi"/>
          <w:szCs w:val="24"/>
        </w:rPr>
        <w:t xml:space="preserve">. </w:t>
      </w:r>
      <w:r w:rsidRPr="006E0D86">
        <w:rPr>
          <w:rFonts w:asciiTheme="minorHAnsi" w:hAnsiTheme="minorHAnsi" w:cstheme="minorHAnsi"/>
          <w:szCs w:val="24"/>
        </w:rPr>
        <w:t xml:space="preserve">While the maintenance of the Sub-Stations is being attended by maintenance wing headed by an Asst. Executive </w:t>
      </w:r>
      <w:r w:rsidR="00A63D57" w:rsidRPr="006E0D86">
        <w:rPr>
          <w:rFonts w:asciiTheme="minorHAnsi" w:hAnsiTheme="minorHAnsi" w:cstheme="minorHAnsi"/>
          <w:szCs w:val="24"/>
        </w:rPr>
        <w:t>Engineer</w:t>
      </w:r>
      <w:r w:rsidRPr="006E0D86">
        <w:rPr>
          <w:rFonts w:asciiTheme="minorHAnsi" w:hAnsiTheme="minorHAnsi" w:cstheme="minorHAnsi"/>
          <w:szCs w:val="24"/>
        </w:rPr>
        <w:t>, the</w:t>
      </w:r>
      <w:r w:rsidRPr="00A4527C">
        <w:rPr>
          <w:rFonts w:asciiTheme="minorHAnsi" w:hAnsiTheme="minorHAnsi" w:cstheme="minorHAnsi"/>
          <w:szCs w:val="24"/>
        </w:rPr>
        <w:t xml:space="preserve"> operations of the Sub-Stations are being attended</w:t>
      </w:r>
      <w:r>
        <w:rPr>
          <w:rFonts w:asciiTheme="minorHAnsi" w:hAnsiTheme="minorHAnsi" w:cstheme="minorHAnsi"/>
          <w:szCs w:val="24"/>
        </w:rPr>
        <w:t xml:space="preserve"> by shift duty wing headed by Assistant Engineer</w:t>
      </w:r>
      <w:r w:rsidRPr="00A4527C">
        <w:rPr>
          <w:rFonts w:asciiTheme="minorHAnsi" w:hAnsiTheme="minorHAnsi" w:cstheme="minorHAnsi"/>
          <w:szCs w:val="24"/>
        </w:rPr>
        <w:t xml:space="preserve"> round the clock.</w:t>
      </w:r>
    </w:p>
    <w:p w:rsidR="000103C7" w:rsidRPr="00A4527C" w:rsidRDefault="000103C7" w:rsidP="000103C7">
      <w:pPr>
        <w:pStyle w:val="EDNormal"/>
        <w:rPr>
          <w:rFonts w:asciiTheme="minorHAnsi" w:hAnsiTheme="minorHAnsi" w:cstheme="minorHAnsi"/>
          <w:szCs w:val="24"/>
        </w:rPr>
      </w:pPr>
    </w:p>
    <w:p w:rsidR="000103C7" w:rsidRDefault="000103C7" w:rsidP="000103C7">
      <w:pPr>
        <w:pStyle w:val="ED-H2"/>
      </w:pPr>
      <w:bookmarkStart w:id="62" w:name="_Toc523560496"/>
      <w:bookmarkStart w:id="63" w:name="_Toc523724474"/>
      <w:r w:rsidRPr="00105F99">
        <w:rPr>
          <w:rFonts w:asciiTheme="minorHAnsi" w:hAnsiTheme="minorHAnsi" w:cstheme="minorHAnsi"/>
          <w:szCs w:val="24"/>
        </w:rPr>
        <w:t>Other Functions</w:t>
      </w:r>
      <w:bookmarkEnd w:id="62"/>
      <w:bookmarkEnd w:id="63"/>
    </w:p>
    <w:p w:rsidR="000103C7" w:rsidRPr="00A4527C" w:rsidRDefault="000103C7" w:rsidP="000103C7">
      <w:pPr>
        <w:pStyle w:val="ListParagraph"/>
        <w:numPr>
          <w:ilvl w:val="0"/>
          <w:numId w:val="9"/>
        </w:numPr>
        <w:rPr>
          <w:rFonts w:asciiTheme="minorHAnsi" w:hAnsiTheme="minorHAnsi" w:cstheme="minorHAnsi"/>
          <w:b/>
          <w:bCs/>
          <w:u w:val="single"/>
        </w:rPr>
      </w:pPr>
      <w:r>
        <w:rPr>
          <w:rFonts w:asciiTheme="minorHAnsi" w:hAnsiTheme="minorHAnsi" w:cstheme="minorHAnsi"/>
          <w:b/>
          <w:bCs/>
          <w:u w:val="single"/>
        </w:rPr>
        <w:t>Division – Cables &amp; TTC</w:t>
      </w:r>
    </w:p>
    <w:p w:rsidR="000103C7" w:rsidRPr="00A4527C" w:rsidRDefault="000103C7" w:rsidP="000103C7">
      <w:pPr>
        <w:pStyle w:val="EDNormal"/>
        <w:ind w:left="1080"/>
        <w:rPr>
          <w:rFonts w:asciiTheme="minorHAnsi" w:hAnsiTheme="minorHAnsi" w:cstheme="minorHAnsi"/>
          <w:szCs w:val="24"/>
        </w:rPr>
      </w:pPr>
      <w:r w:rsidRPr="00A4527C">
        <w:rPr>
          <w:rFonts w:asciiTheme="minorHAnsi" w:hAnsiTheme="minorHAnsi" w:cstheme="minorHAnsi"/>
          <w:szCs w:val="24"/>
        </w:rPr>
        <w:t>It is the cable construction division responsible for planning, construction and augmentation works of underground cables for all the four regions. The division is headed by an Execut</w:t>
      </w:r>
      <w:r>
        <w:rPr>
          <w:rFonts w:asciiTheme="minorHAnsi" w:hAnsiTheme="minorHAnsi" w:cstheme="minorHAnsi"/>
          <w:szCs w:val="24"/>
        </w:rPr>
        <w:t>ive Engineer and there are two sub d</w:t>
      </w:r>
      <w:r w:rsidRPr="00A4527C">
        <w:rPr>
          <w:rFonts w:asciiTheme="minorHAnsi" w:hAnsiTheme="minorHAnsi" w:cstheme="minorHAnsi"/>
          <w:szCs w:val="24"/>
        </w:rPr>
        <w:t>ivisions for construction headed by Assist</w:t>
      </w:r>
      <w:r>
        <w:rPr>
          <w:rFonts w:asciiTheme="minorHAnsi" w:hAnsiTheme="minorHAnsi" w:cstheme="minorHAnsi"/>
          <w:szCs w:val="24"/>
        </w:rPr>
        <w:t>ant Engineers. The Master Plan sub d</w:t>
      </w:r>
      <w:r w:rsidRPr="00A4527C">
        <w:rPr>
          <w:rFonts w:asciiTheme="minorHAnsi" w:hAnsiTheme="minorHAnsi" w:cstheme="minorHAnsi"/>
          <w:szCs w:val="24"/>
        </w:rPr>
        <w:t xml:space="preserve">ivision </w:t>
      </w:r>
      <w:r>
        <w:rPr>
          <w:rFonts w:asciiTheme="minorHAnsi" w:hAnsiTheme="minorHAnsi" w:cstheme="minorHAnsi"/>
          <w:szCs w:val="24"/>
        </w:rPr>
        <w:t xml:space="preserve">is </w:t>
      </w:r>
      <w:r>
        <w:rPr>
          <w:rFonts w:asciiTheme="minorHAnsi" w:hAnsiTheme="minorHAnsi" w:cstheme="minorHAnsi"/>
          <w:szCs w:val="24"/>
        </w:rPr>
        <w:lastRenderedPageBreak/>
        <w:t>responsible for planning of c</w:t>
      </w:r>
      <w:r w:rsidRPr="00A4527C">
        <w:rPr>
          <w:rFonts w:asciiTheme="minorHAnsi" w:hAnsiTheme="minorHAnsi" w:cstheme="minorHAnsi"/>
          <w:szCs w:val="24"/>
        </w:rPr>
        <w:t>able construction</w:t>
      </w:r>
      <w:r>
        <w:rPr>
          <w:rFonts w:asciiTheme="minorHAnsi" w:hAnsiTheme="minorHAnsi" w:cstheme="minorHAnsi"/>
          <w:szCs w:val="24"/>
        </w:rPr>
        <w:t xml:space="preserve"> and Ring Main System (RMS) sub-division executes the cable construction works</w:t>
      </w:r>
      <w:r w:rsidRPr="00A4527C">
        <w:rPr>
          <w:rFonts w:asciiTheme="minorHAnsi" w:hAnsiTheme="minorHAnsi" w:cstheme="minorHAnsi"/>
          <w:szCs w:val="24"/>
        </w:rPr>
        <w:t>. The Technical Training Centre, the centre responsible for imparting tr</w:t>
      </w:r>
      <w:r>
        <w:rPr>
          <w:rFonts w:asciiTheme="minorHAnsi" w:hAnsiTheme="minorHAnsi" w:cstheme="minorHAnsi"/>
          <w:szCs w:val="24"/>
        </w:rPr>
        <w:t>aining to the employees of the d</w:t>
      </w:r>
      <w:r w:rsidRPr="00A4527C">
        <w:rPr>
          <w:rFonts w:asciiTheme="minorHAnsi" w:hAnsiTheme="minorHAnsi" w:cstheme="minorHAnsi"/>
          <w:szCs w:val="24"/>
        </w:rPr>
        <w:t>epartment, headed by an Assistant Execu</w:t>
      </w:r>
      <w:r>
        <w:rPr>
          <w:rFonts w:asciiTheme="minorHAnsi" w:hAnsiTheme="minorHAnsi" w:cstheme="minorHAnsi"/>
          <w:szCs w:val="24"/>
        </w:rPr>
        <w:t>tive Engineer falls under this division.The d</w:t>
      </w:r>
      <w:r w:rsidRPr="00A4527C">
        <w:rPr>
          <w:rFonts w:asciiTheme="minorHAnsi" w:hAnsiTheme="minorHAnsi" w:cstheme="minorHAnsi"/>
          <w:szCs w:val="24"/>
        </w:rPr>
        <w:t>ivision</w:t>
      </w:r>
      <w:r>
        <w:rPr>
          <w:rFonts w:asciiTheme="minorHAnsi" w:hAnsiTheme="minorHAnsi" w:cstheme="minorHAnsi"/>
          <w:szCs w:val="24"/>
        </w:rPr>
        <w:t xml:space="preserve"> is also looking after the execution of works under the schemes Integrated Power Development Scheme (IPDS) and Deen Dayal Grama Jyothi Yojana (DDUGJY) and cable works covered under R-APDRP Part B</w:t>
      </w:r>
      <w:r w:rsidRPr="00A4527C">
        <w:rPr>
          <w:rFonts w:asciiTheme="minorHAnsi" w:hAnsiTheme="minorHAnsi" w:cstheme="minorHAnsi"/>
          <w:szCs w:val="24"/>
        </w:rPr>
        <w:t>.</w:t>
      </w:r>
      <w:r>
        <w:rPr>
          <w:rFonts w:asciiTheme="minorHAnsi" w:hAnsiTheme="minorHAnsi" w:cstheme="minorHAnsi"/>
          <w:szCs w:val="24"/>
        </w:rPr>
        <w:t xml:space="preserve"> VHF communication network is also maintained by this division.</w:t>
      </w:r>
    </w:p>
    <w:p w:rsidR="000103C7" w:rsidRPr="005D0647" w:rsidRDefault="000103C7" w:rsidP="000103C7">
      <w:pPr>
        <w:pStyle w:val="EDNormal"/>
        <w:rPr>
          <w:rFonts w:asciiTheme="minorHAnsi" w:hAnsiTheme="minorHAnsi" w:cstheme="minorHAnsi"/>
          <w:sz w:val="20"/>
          <w:szCs w:val="20"/>
        </w:rPr>
      </w:pPr>
    </w:p>
    <w:p w:rsidR="000103C7" w:rsidRPr="00A4527C" w:rsidRDefault="000103C7" w:rsidP="000103C7">
      <w:pPr>
        <w:pStyle w:val="ListParagraph"/>
        <w:numPr>
          <w:ilvl w:val="0"/>
          <w:numId w:val="9"/>
        </w:numPr>
        <w:rPr>
          <w:rFonts w:asciiTheme="minorHAnsi" w:hAnsiTheme="minorHAnsi" w:cstheme="minorHAnsi"/>
          <w:b/>
          <w:bCs/>
          <w:u w:val="single"/>
        </w:rPr>
      </w:pPr>
      <w:r>
        <w:rPr>
          <w:rFonts w:asciiTheme="minorHAnsi" w:hAnsiTheme="minorHAnsi" w:cstheme="minorHAnsi"/>
          <w:b/>
          <w:bCs/>
          <w:u w:val="single"/>
        </w:rPr>
        <w:t>Division – MMC &amp; MRT</w:t>
      </w:r>
    </w:p>
    <w:p w:rsidR="000103C7" w:rsidRDefault="000103C7" w:rsidP="000103C7">
      <w:pPr>
        <w:pStyle w:val="EDNormal"/>
        <w:ind w:left="1080"/>
        <w:rPr>
          <w:rFonts w:asciiTheme="minorHAnsi" w:hAnsiTheme="minorHAnsi" w:cstheme="minorHAnsi"/>
          <w:szCs w:val="24"/>
        </w:rPr>
      </w:pPr>
      <w:r w:rsidRPr="00A4527C">
        <w:rPr>
          <w:rFonts w:asciiTheme="minorHAnsi" w:hAnsiTheme="minorHAnsi" w:cstheme="minorHAnsi"/>
          <w:szCs w:val="24"/>
        </w:rPr>
        <w:t xml:space="preserve">It </w:t>
      </w:r>
      <w:r>
        <w:rPr>
          <w:rFonts w:asciiTheme="minorHAnsi" w:hAnsiTheme="minorHAnsi" w:cstheme="minorHAnsi"/>
          <w:szCs w:val="24"/>
        </w:rPr>
        <w:t>is responsible for Material M</w:t>
      </w:r>
      <w:r w:rsidRPr="00A4527C">
        <w:rPr>
          <w:rFonts w:asciiTheme="minorHAnsi" w:hAnsiTheme="minorHAnsi" w:cstheme="minorHAnsi"/>
          <w:szCs w:val="24"/>
        </w:rPr>
        <w:t xml:space="preserve">anagement and MRT. All procurement activities </w:t>
      </w:r>
      <w:r>
        <w:rPr>
          <w:rFonts w:asciiTheme="minorHAnsi" w:hAnsiTheme="minorHAnsi" w:cstheme="minorHAnsi"/>
          <w:szCs w:val="24"/>
        </w:rPr>
        <w:t xml:space="preserve">of major and minor materials </w:t>
      </w:r>
      <w:r w:rsidRPr="00A4527C">
        <w:rPr>
          <w:rFonts w:asciiTheme="minorHAnsi" w:hAnsiTheme="minorHAnsi" w:cstheme="minorHAnsi"/>
          <w:szCs w:val="24"/>
        </w:rPr>
        <w:t>are carried out by this division. In addition to this</w:t>
      </w:r>
      <w:r w:rsidR="001A29BC">
        <w:rPr>
          <w:rFonts w:asciiTheme="minorHAnsi" w:hAnsiTheme="minorHAnsi" w:cstheme="minorHAnsi"/>
          <w:szCs w:val="24"/>
        </w:rPr>
        <w:t xml:space="preserve">, </w:t>
      </w:r>
      <w:r w:rsidRPr="00A4527C">
        <w:rPr>
          <w:rFonts w:asciiTheme="minorHAnsi" w:hAnsiTheme="minorHAnsi" w:cstheme="minorHAnsi"/>
          <w:szCs w:val="24"/>
        </w:rPr>
        <w:t xml:space="preserve">all testing and validation of meters and testing of protection equipment is carried out by MRT. </w:t>
      </w:r>
      <w:r>
        <w:rPr>
          <w:rFonts w:asciiTheme="minorHAnsi" w:hAnsiTheme="minorHAnsi" w:cstheme="minorHAnsi"/>
          <w:szCs w:val="24"/>
        </w:rPr>
        <w:t>LTM Sub-division carries out the installation and testing of meters in the LT CT services.  Issue of permission for grid connectivity of the Solar Power Plants in the UT of Puducherry is being dealt with this Division, apart from compliance of Renewable Power Obligations.</w:t>
      </w:r>
    </w:p>
    <w:p w:rsidR="000103C7" w:rsidRPr="005D0647" w:rsidRDefault="000103C7" w:rsidP="000103C7">
      <w:pPr>
        <w:pStyle w:val="EDNormal"/>
        <w:ind w:left="1080"/>
        <w:rPr>
          <w:rFonts w:asciiTheme="minorHAnsi" w:hAnsiTheme="minorHAnsi" w:cstheme="minorHAnsi"/>
          <w:sz w:val="20"/>
          <w:szCs w:val="20"/>
        </w:rPr>
      </w:pPr>
    </w:p>
    <w:p w:rsidR="000103C7" w:rsidRPr="00A4527C" w:rsidRDefault="000103C7" w:rsidP="000103C7">
      <w:pPr>
        <w:pStyle w:val="ListParagraph"/>
        <w:numPr>
          <w:ilvl w:val="0"/>
          <w:numId w:val="9"/>
        </w:numPr>
        <w:rPr>
          <w:rFonts w:asciiTheme="minorHAnsi" w:hAnsiTheme="minorHAnsi" w:cstheme="minorHAnsi"/>
          <w:b/>
          <w:bCs/>
          <w:u w:val="single"/>
        </w:rPr>
      </w:pPr>
      <w:r>
        <w:rPr>
          <w:rFonts w:asciiTheme="minorHAnsi" w:hAnsiTheme="minorHAnsi" w:cstheme="minorHAnsi"/>
          <w:b/>
          <w:bCs/>
          <w:u w:val="single"/>
        </w:rPr>
        <w:t>Division-EHV</w:t>
      </w:r>
    </w:p>
    <w:p w:rsidR="000103C7" w:rsidRPr="00A4527C" w:rsidRDefault="000103C7" w:rsidP="000103C7">
      <w:pPr>
        <w:pStyle w:val="EDNormal"/>
        <w:ind w:left="1080"/>
        <w:rPr>
          <w:rFonts w:asciiTheme="minorHAnsi" w:hAnsiTheme="minorHAnsi" w:cstheme="minorHAnsi"/>
          <w:szCs w:val="24"/>
        </w:rPr>
      </w:pPr>
      <w:r w:rsidRPr="00A4527C">
        <w:rPr>
          <w:rFonts w:asciiTheme="minorHAnsi" w:hAnsiTheme="minorHAnsi" w:cstheme="minorHAnsi"/>
          <w:szCs w:val="24"/>
        </w:rPr>
        <w:t>It is responsible for al</w:t>
      </w:r>
      <w:r>
        <w:rPr>
          <w:rFonts w:asciiTheme="minorHAnsi" w:hAnsiTheme="minorHAnsi" w:cstheme="minorHAnsi"/>
          <w:szCs w:val="24"/>
        </w:rPr>
        <w:t>l EHV construction activities (transmission lines and EHV sub s</w:t>
      </w:r>
      <w:r w:rsidRPr="00A4527C">
        <w:rPr>
          <w:rFonts w:asciiTheme="minorHAnsi" w:hAnsiTheme="minorHAnsi" w:cstheme="minorHAnsi"/>
          <w:szCs w:val="24"/>
        </w:rPr>
        <w:t>t</w:t>
      </w:r>
      <w:r>
        <w:rPr>
          <w:rFonts w:asciiTheme="minorHAnsi" w:hAnsiTheme="minorHAnsi" w:cstheme="minorHAnsi"/>
          <w:szCs w:val="24"/>
        </w:rPr>
        <w:t>ations), new 11 KV and 22 KV f</w:t>
      </w:r>
      <w:r w:rsidRPr="00A4527C">
        <w:rPr>
          <w:rFonts w:asciiTheme="minorHAnsi" w:hAnsiTheme="minorHAnsi" w:cstheme="minorHAnsi"/>
          <w:szCs w:val="24"/>
        </w:rPr>
        <w:t>eeder construction and augme</w:t>
      </w:r>
      <w:r>
        <w:rPr>
          <w:rFonts w:asciiTheme="minorHAnsi" w:hAnsiTheme="minorHAnsi" w:cstheme="minorHAnsi"/>
          <w:szCs w:val="24"/>
        </w:rPr>
        <w:t xml:space="preserve">ntation works, </w:t>
      </w:r>
      <w:r w:rsidRPr="00A4527C">
        <w:rPr>
          <w:rFonts w:asciiTheme="minorHAnsi" w:hAnsiTheme="minorHAnsi" w:cstheme="minorHAnsi"/>
          <w:szCs w:val="24"/>
        </w:rPr>
        <w:t xml:space="preserve">planning for extension of supply to new </w:t>
      </w:r>
      <w:r>
        <w:rPr>
          <w:rFonts w:asciiTheme="minorHAnsi" w:hAnsiTheme="minorHAnsi" w:cstheme="minorHAnsi"/>
          <w:szCs w:val="24"/>
        </w:rPr>
        <w:t>E</w:t>
      </w:r>
      <w:r w:rsidRPr="00A4527C">
        <w:rPr>
          <w:rFonts w:asciiTheme="minorHAnsi" w:hAnsiTheme="minorHAnsi" w:cstheme="minorHAnsi"/>
          <w:szCs w:val="24"/>
        </w:rPr>
        <w:t>HT services</w:t>
      </w:r>
      <w:r>
        <w:rPr>
          <w:rFonts w:asciiTheme="minorHAnsi" w:hAnsiTheme="minorHAnsi" w:cstheme="minorHAnsi"/>
          <w:szCs w:val="24"/>
        </w:rPr>
        <w:t xml:space="preserve"> and maintenance of EHV lines in the UT of Puducherry</w:t>
      </w:r>
      <w:r w:rsidRPr="00A4527C">
        <w:rPr>
          <w:rFonts w:asciiTheme="minorHAnsi" w:hAnsiTheme="minorHAnsi" w:cstheme="minorHAnsi"/>
          <w:szCs w:val="24"/>
        </w:rPr>
        <w:t>.</w:t>
      </w:r>
      <w:r>
        <w:rPr>
          <w:rFonts w:asciiTheme="minorHAnsi" w:hAnsiTheme="minorHAnsi" w:cstheme="minorHAnsi"/>
          <w:szCs w:val="24"/>
        </w:rPr>
        <w:t xml:space="preserve"> This division is also dealing with JICA loan proposals and execution of Part-B of R-APDRP. Works covered under Power System Development Fund (PSDF) is also being implemented by this division. The operation and maintenance of </w:t>
      </w:r>
      <w:r w:rsidRPr="00FF5BC1">
        <w:rPr>
          <w:rFonts w:asciiTheme="minorHAnsi" w:hAnsiTheme="minorHAnsi" w:cstheme="minorHAnsi"/>
          <w:b/>
          <w:szCs w:val="24"/>
        </w:rPr>
        <w:t>System Control Centre</w:t>
      </w:r>
      <w:r>
        <w:rPr>
          <w:rFonts w:asciiTheme="minorHAnsi" w:hAnsiTheme="minorHAnsi" w:cstheme="minorHAnsi"/>
          <w:szCs w:val="24"/>
        </w:rPr>
        <w:t xml:space="preserve"> (SCC) is under the control of this division.</w:t>
      </w:r>
    </w:p>
    <w:p w:rsidR="000103C7" w:rsidRPr="005D0647" w:rsidRDefault="000103C7" w:rsidP="000103C7">
      <w:pPr>
        <w:pStyle w:val="EDNormal"/>
        <w:ind w:left="1080"/>
        <w:rPr>
          <w:rFonts w:asciiTheme="minorHAnsi" w:hAnsiTheme="minorHAnsi" w:cstheme="minorHAnsi"/>
          <w:sz w:val="20"/>
          <w:szCs w:val="20"/>
        </w:rPr>
      </w:pPr>
    </w:p>
    <w:p w:rsidR="000103C7" w:rsidRPr="00A4527C" w:rsidRDefault="000103C7" w:rsidP="000103C7">
      <w:pPr>
        <w:pStyle w:val="ListParagraph"/>
        <w:numPr>
          <w:ilvl w:val="0"/>
          <w:numId w:val="9"/>
        </w:numPr>
        <w:rPr>
          <w:rFonts w:asciiTheme="minorHAnsi" w:hAnsiTheme="minorHAnsi" w:cstheme="minorHAnsi"/>
          <w:b/>
          <w:bCs/>
          <w:u w:val="single"/>
        </w:rPr>
      </w:pPr>
      <w:r>
        <w:rPr>
          <w:rFonts w:asciiTheme="minorHAnsi" w:hAnsiTheme="minorHAnsi" w:cstheme="minorHAnsi"/>
          <w:b/>
          <w:bCs/>
          <w:u w:val="single"/>
        </w:rPr>
        <w:t>Division SPM &amp; Buildings</w:t>
      </w:r>
    </w:p>
    <w:p w:rsidR="000103C7" w:rsidRPr="00A4527C" w:rsidRDefault="000103C7" w:rsidP="000103C7">
      <w:pPr>
        <w:pStyle w:val="EDNormal"/>
        <w:ind w:left="1080"/>
        <w:rPr>
          <w:rFonts w:asciiTheme="minorHAnsi" w:hAnsiTheme="minorHAnsi" w:cstheme="minorHAnsi"/>
          <w:szCs w:val="24"/>
        </w:rPr>
      </w:pPr>
      <w:r w:rsidRPr="00A4527C">
        <w:rPr>
          <w:rFonts w:asciiTheme="minorHAnsi" w:hAnsiTheme="minorHAnsi" w:cstheme="minorHAnsi"/>
          <w:szCs w:val="24"/>
        </w:rPr>
        <w:t xml:space="preserve">It is responsible for repairing the distribution transformers, administration of workshop and electrical maintenance of Government buildings. The O&amp;M sub-Division of Mahe is under this Division </w:t>
      </w:r>
    </w:p>
    <w:p w:rsidR="000103C7" w:rsidRPr="005D0647" w:rsidRDefault="000103C7" w:rsidP="000103C7">
      <w:pPr>
        <w:pStyle w:val="EDNormal"/>
        <w:ind w:left="1080"/>
        <w:rPr>
          <w:rFonts w:asciiTheme="minorHAnsi" w:hAnsiTheme="minorHAnsi" w:cstheme="minorHAnsi"/>
          <w:sz w:val="20"/>
          <w:szCs w:val="20"/>
        </w:rPr>
      </w:pPr>
    </w:p>
    <w:p w:rsidR="000103C7" w:rsidRPr="00A4527C" w:rsidRDefault="000103C7" w:rsidP="000103C7">
      <w:pPr>
        <w:pStyle w:val="ListParagraph"/>
        <w:numPr>
          <w:ilvl w:val="0"/>
          <w:numId w:val="9"/>
        </w:numPr>
        <w:rPr>
          <w:rFonts w:asciiTheme="minorHAnsi" w:hAnsiTheme="minorHAnsi" w:cstheme="minorHAnsi"/>
          <w:b/>
          <w:bCs/>
          <w:u w:val="single"/>
        </w:rPr>
      </w:pPr>
      <w:r w:rsidRPr="00A4527C">
        <w:rPr>
          <w:rFonts w:asciiTheme="minorHAnsi" w:hAnsiTheme="minorHAnsi" w:cstheme="minorHAnsi"/>
          <w:b/>
          <w:bCs/>
          <w:u w:val="single"/>
        </w:rPr>
        <w:t>Division V</w:t>
      </w:r>
      <w:r>
        <w:rPr>
          <w:rFonts w:asciiTheme="minorHAnsi" w:hAnsiTheme="minorHAnsi" w:cstheme="minorHAnsi"/>
          <w:b/>
          <w:bCs/>
          <w:u w:val="single"/>
        </w:rPr>
        <w:t>-Karaikal</w:t>
      </w:r>
    </w:p>
    <w:p w:rsidR="000103C7" w:rsidRPr="00A4527C" w:rsidRDefault="000103C7" w:rsidP="000103C7">
      <w:pPr>
        <w:pStyle w:val="EDNormal"/>
        <w:ind w:left="1080"/>
        <w:rPr>
          <w:rFonts w:asciiTheme="minorHAnsi" w:hAnsiTheme="minorHAnsi" w:cstheme="minorHAnsi"/>
          <w:szCs w:val="24"/>
        </w:rPr>
      </w:pPr>
      <w:r w:rsidRPr="00A4527C">
        <w:rPr>
          <w:rFonts w:asciiTheme="minorHAnsi" w:hAnsiTheme="minorHAnsi" w:cstheme="minorHAnsi"/>
          <w:szCs w:val="24"/>
        </w:rPr>
        <w:t>It is responsible for the overall operation of</w:t>
      </w:r>
      <w:r>
        <w:rPr>
          <w:rFonts w:asciiTheme="minorHAnsi" w:hAnsiTheme="minorHAnsi" w:cstheme="minorHAnsi"/>
          <w:szCs w:val="24"/>
        </w:rPr>
        <w:t xml:space="preserve"> the Karaikal region. This division</w:t>
      </w:r>
      <w:r w:rsidRPr="00A4527C">
        <w:rPr>
          <w:rFonts w:asciiTheme="minorHAnsi" w:hAnsiTheme="minorHAnsi" w:cstheme="minorHAnsi"/>
          <w:szCs w:val="24"/>
        </w:rPr>
        <w:t>handles the entire gamut of activities of the Karaikal region namely Operation &amp; Maintenance, Construction and Building Maintenance.</w:t>
      </w:r>
    </w:p>
    <w:p w:rsidR="001A29BC" w:rsidRDefault="001A29BC" w:rsidP="000103C7">
      <w:pPr>
        <w:pStyle w:val="EDNormal"/>
        <w:ind w:left="1080"/>
        <w:rPr>
          <w:rFonts w:asciiTheme="minorHAnsi" w:hAnsiTheme="minorHAnsi" w:cstheme="minorHAnsi"/>
          <w:sz w:val="20"/>
          <w:szCs w:val="20"/>
        </w:rPr>
      </w:pPr>
    </w:p>
    <w:p w:rsidR="00146432" w:rsidRDefault="00146432" w:rsidP="000103C7">
      <w:pPr>
        <w:pStyle w:val="EDNormal"/>
        <w:ind w:left="1080"/>
        <w:rPr>
          <w:rFonts w:asciiTheme="minorHAnsi" w:hAnsiTheme="minorHAnsi" w:cstheme="minorHAnsi"/>
          <w:sz w:val="20"/>
          <w:szCs w:val="20"/>
        </w:rPr>
      </w:pPr>
    </w:p>
    <w:p w:rsidR="00146432" w:rsidRDefault="00146432" w:rsidP="000103C7">
      <w:pPr>
        <w:pStyle w:val="EDNormal"/>
        <w:ind w:left="1080"/>
        <w:rPr>
          <w:rFonts w:asciiTheme="minorHAnsi" w:hAnsiTheme="minorHAnsi" w:cstheme="minorHAnsi"/>
          <w:sz w:val="20"/>
          <w:szCs w:val="20"/>
        </w:rPr>
      </w:pPr>
    </w:p>
    <w:p w:rsidR="00146432" w:rsidRDefault="00146432" w:rsidP="000103C7">
      <w:pPr>
        <w:pStyle w:val="EDNormal"/>
        <w:ind w:left="1080"/>
        <w:rPr>
          <w:rFonts w:asciiTheme="minorHAnsi" w:hAnsiTheme="minorHAnsi" w:cstheme="minorHAnsi"/>
          <w:sz w:val="20"/>
          <w:szCs w:val="20"/>
        </w:rPr>
      </w:pPr>
    </w:p>
    <w:p w:rsidR="00146432" w:rsidRPr="005D0647" w:rsidRDefault="00146432" w:rsidP="000103C7">
      <w:pPr>
        <w:pStyle w:val="EDNormal"/>
        <w:ind w:left="1080"/>
        <w:rPr>
          <w:rFonts w:asciiTheme="minorHAnsi" w:hAnsiTheme="minorHAnsi" w:cstheme="minorHAnsi"/>
          <w:sz w:val="20"/>
          <w:szCs w:val="20"/>
        </w:rPr>
      </w:pPr>
    </w:p>
    <w:p w:rsidR="000103C7" w:rsidRPr="00A4527C" w:rsidRDefault="000103C7" w:rsidP="000103C7">
      <w:pPr>
        <w:pStyle w:val="ListParagraph"/>
        <w:numPr>
          <w:ilvl w:val="0"/>
          <w:numId w:val="9"/>
        </w:numPr>
        <w:rPr>
          <w:rFonts w:asciiTheme="minorHAnsi" w:hAnsiTheme="minorHAnsi" w:cstheme="minorHAnsi"/>
          <w:b/>
          <w:bCs/>
          <w:u w:val="single"/>
        </w:rPr>
      </w:pPr>
      <w:r>
        <w:rPr>
          <w:rFonts w:asciiTheme="minorHAnsi" w:hAnsiTheme="minorHAnsi" w:cstheme="minorHAnsi"/>
          <w:b/>
          <w:bCs/>
          <w:u w:val="single"/>
        </w:rPr>
        <w:t>Division - General</w:t>
      </w:r>
    </w:p>
    <w:p w:rsidR="000103C7" w:rsidRPr="00A4527C" w:rsidRDefault="000103C7" w:rsidP="000103C7">
      <w:pPr>
        <w:pStyle w:val="EDNormal"/>
        <w:ind w:left="1080"/>
        <w:rPr>
          <w:rFonts w:asciiTheme="minorHAnsi" w:hAnsiTheme="minorHAnsi" w:cstheme="minorHAnsi"/>
          <w:szCs w:val="24"/>
        </w:rPr>
      </w:pPr>
      <w:r w:rsidRPr="00A4527C">
        <w:rPr>
          <w:rFonts w:asciiTheme="minorHAnsi" w:hAnsiTheme="minorHAnsi" w:cstheme="minorHAnsi"/>
          <w:szCs w:val="24"/>
        </w:rPr>
        <w:t>It is directly attached to the Head of the Department and is responsible for assisting the Head of the Department in technical matters, Budget Planning and Monitoring and the Issue of technical and work sanctions. This division also acts as the Public Relations Office</w:t>
      </w:r>
      <w:r>
        <w:rPr>
          <w:rFonts w:asciiTheme="minorHAnsi" w:hAnsiTheme="minorHAnsi" w:cstheme="minorHAnsi"/>
          <w:szCs w:val="24"/>
        </w:rPr>
        <w:t>.The Anti Power Theft Squad (APTS) functions under the control of this division. This division is dealing with the Regulatory Matters.</w:t>
      </w:r>
    </w:p>
    <w:p w:rsidR="000103C7" w:rsidRPr="005D0647" w:rsidRDefault="000103C7" w:rsidP="000103C7">
      <w:pPr>
        <w:pStyle w:val="EDNormal"/>
        <w:ind w:left="1080"/>
        <w:rPr>
          <w:rFonts w:asciiTheme="minorHAnsi" w:hAnsiTheme="minorHAnsi" w:cstheme="minorHAnsi"/>
          <w:sz w:val="20"/>
          <w:szCs w:val="20"/>
        </w:rPr>
      </w:pPr>
    </w:p>
    <w:p w:rsidR="000103C7" w:rsidRPr="00A4527C" w:rsidRDefault="000103C7" w:rsidP="000103C7">
      <w:pPr>
        <w:pStyle w:val="ListParagraph"/>
        <w:numPr>
          <w:ilvl w:val="0"/>
          <w:numId w:val="9"/>
        </w:numPr>
        <w:rPr>
          <w:rFonts w:asciiTheme="minorHAnsi" w:hAnsiTheme="minorHAnsi" w:cstheme="minorHAnsi"/>
          <w:b/>
          <w:bCs/>
          <w:u w:val="single"/>
        </w:rPr>
      </w:pPr>
      <w:r w:rsidRPr="00A4527C">
        <w:rPr>
          <w:rFonts w:asciiTheme="minorHAnsi" w:hAnsiTheme="minorHAnsi" w:cstheme="minorHAnsi"/>
          <w:b/>
          <w:bCs/>
          <w:u w:val="single"/>
        </w:rPr>
        <w:t>Financial Controller</w:t>
      </w:r>
    </w:p>
    <w:p w:rsidR="000103C7" w:rsidRDefault="000103C7" w:rsidP="000103C7">
      <w:pPr>
        <w:pStyle w:val="EDNormal"/>
        <w:ind w:left="1080"/>
        <w:rPr>
          <w:rFonts w:asciiTheme="minorHAnsi" w:hAnsiTheme="minorHAnsi" w:cstheme="minorHAnsi"/>
          <w:szCs w:val="24"/>
        </w:rPr>
      </w:pPr>
      <w:r w:rsidRPr="00A4527C">
        <w:rPr>
          <w:rFonts w:asciiTheme="minorHAnsi" w:hAnsiTheme="minorHAnsi" w:cstheme="minorHAnsi"/>
          <w:szCs w:val="24"/>
        </w:rPr>
        <w:t xml:space="preserve">He is responsible for all revenue and accounting activities of the Department. Financial Controller is responsible for preparation of budget estimates, payment for power purchase and centrally procured items, CAG audit, </w:t>
      </w:r>
      <w:r>
        <w:rPr>
          <w:rFonts w:asciiTheme="minorHAnsi" w:hAnsiTheme="minorHAnsi" w:cstheme="minorHAnsi"/>
          <w:szCs w:val="24"/>
        </w:rPr>
        <w:t xml:space="preserve">Internal and external Audit, </w:t>
      </w:r>
      <w:r w:rsidRPr="00A4527C">
        <w:rPr>
          <w:rFonts w:asciiTheme="minorHAnsi" w:hAnsiTheme="minorHAnsi" w:cstheme="minorHAnsi"/>
          <w:szCs w:val="24"/>
        </w:rPr>
        <w:t>Issue and close of Work Orders and Issue of Work Adjustment bills. Stores Superintendent is responsible for stores administration, for the whole Department.</w:t>
      </w:r>
    </w:p>
    <w:p w:rsidR="001A29BC" w:rsidRPr="00A4527C" w:rsidRDefault="001A29BC" w:rsidP="000103C7">
      <w:pPr>
        <w:pStyle w:val="EDNormal"/>
        <w:ind w:left="1080"/>
        <w:rPr>
          <w:rFonts w:asciiTheme="minorHAnsi" w:hAnsiTheme="minorHAnsi" w:cstheme="minorHAnsi"/>
          <w:szCs w:val="24"/>
        </w:rPr>
      </w:pPr>
    </w:p>
    <w:p w:rsidR="000103C7" w:rsidRDefault="000103C7" w:rsidP="000103C7">
      <w:pPr>
        <w:pStyle w:val="ED-H2"/>
      </w:pPr>
      <w:bookmarkStart w:id="64" w:name="_Toc523560497"/>
      <w:bookmarkStart w:id="65" w:name="_Toc523724475"/>
      <w:r w:rsidRPr="009B0F9F">
        <w:t>Human Resource Management</w:t>
      </w:r>
      <w:bookmarkEnd w:id="64"/>
      <w:bookmarkEnd w:id="65"/>
    </w:p>
    <w:p w:rsidR="000103C7" w:rsidRDefault="000103C7" w:rsidP="000103C7">
      <w:pPr>
        <w:pStyle w:val="ED-H3"/>
      </w:pPr>
      <w:r w:rsidRPr="009B0F9F">
        <w:t>Man Power Planning</w:t>
      </w:r>
    </w:p>
    <w:p w:rsidR="000103C7" w:rsidRDefault="000103C7" w:rsidP="000103C7">
      <w:pPr>
        <w:pStyle w:val="EDNormal"/>
        <w:ind w:left="864"/>
      </w:pPr>
      <w:r w:rsidRPr="009B0F9F">
        <w:t xml:space="preserve">The responsibility towards maintenance of a highly efficient distribution system and the accountability towards discharge of the duties as a service provider have to be shared by the engineers and employees of the </w:t>
      </w:r>
      <w:r>
        <w:t>PED</w:t>
      </w:r>
      <w:r w:rsidRPr="009B0F9F">
        <w:t>. The biggest asset of any organization is its work force. Their optimum performance can elevate its progress. At the same time, it is also true that the career growth of its employees is directly related to the growth of the organization. The Electricity Department has a technical work force of over 2192 employees of different ranks who perform multifaceted technical functions and duties, viz., maintaining power supply, metering, billing, revenue collections, customer services etc.</w:t>
      </w:r>
    </w:p>
    <w:p w:rsidR="000103C7" w:rsidRPr="009A6247" w:rsidRDefault="000103C7" w:rsidP="000103C7">
      <w:pPr>
        <w:pStyle w:val="EDNormal"/>
      </w:pPr>
    </w:p>
    <w:p w:rsidR="000103C7" w:rsidRDefault="000103C7" w:rsidP="000103C7">
      <w:pPr>
        <w:pStyle w:val="ED-H3"/>
      </w:pPr>
      <w:r w:rsidRPr="00105F99">
        <w:rPr>
          <w:rFonts w:cstheme="minorHAnsi"/>
          <w:szCs w:val="24"/>
        </w:rPr>
        <w:t>Staffing</w:t>
      </w:r>
    </w:p>
    <w:p w:rsidR="000103C7" w:rsidRPr="00A4527C" w:rsidRDefault="000103C7" w:rsidP="000103C7">
      <w:pPr>
        <w:pStyle w:val="ListParagraph"/>
        <w:numPr>
          <w:ilvl w:val="0"/>
          <w:numId w:val="10"/>
        </w:numPr>
        <w:rPr>
          <w:rFonts w:asciiTheme="minorHAnsi" w:hAnsiTheme="minorHAnsi" w:cstheme="minorHAnsi"/>
          <w:b/>
          <w:bCs/>
          <w:u w:val="single"/>
        </w:rPr>
      </w:pPr>
      <w:r w:rsidRPr="00A4527C">
        <w:rPr>
          <w:rFonts w:asciiTheme="minorHAnsi" w:hAnsiTheme="minorHAnsi" w:cstheme="minorHAnsi"/>
          <w:b/>
          <w:bCs/>
          <w:u w:val="single"/>
        </w:rPr>
        <w:t>Tech &amp; Non-tech structuring and staffing</w:t>
      </w:r>
    </w:p>
    <w:p w:rsidR="000103C7" w:rsidRPr="00A4527C" w:rsidRDefault="000103C7" w:rsidP="000103C7">
      <w:pPr>
        <w:pStyle w:val="EDNormal"/>
        <w:ind w:left="1080"/>
        <w:rPr>
          <w:rFonts w:asciiTheme="minorHAnsi" w:hAnsiTheme="minorHAnsi" w:cstheme="minorHAnsi"/>
          <w:szCs w:val="24"/>
        </w:rPr>
      </w:pPr>
      <w:r w:rsidRPr="00A4527C">
        <w:rPr>
          <w:rFonts w:asciiTheme="minorHAnsi" w:hAnsiTheme="minorHAnsi" w:cstheme="minorHAnsi"/>
          <w:szCs w:val="24"/>
        </w:rPr>
        <w:t xml:space="preserve">The total sanctioned employee strength of the department </w:t>
      </w:r>
      <w:r w:rsidRPr="009C2059">
        <w:rPr>
          <w:rFonts w:asciiTheme="minorHAnsi" w:hAnsiTheme="minorHAnsi" w:cstheme="minorHAnsi"/>
          <w:szCs w:val="24"/>
        </w:rPr>
        <w:t>is 2854 of which 2192</w:t>
      </w:r>
      <w:r w:rsidRPr="00A4527C">
        <w:rPr>
          <w:rFonts w:asciiTheme="minorHAnsi" w:hAnsiTheme="minorHAnsi" w:cstheme="minorHAnsi"/>
          <w:szCs w:val="24"/>
        </w:rPr>
        <w:t xml:space="preserve"> belong to technical cadre and 665 belong to ministerial cadre. The ministerial cadre employees do not belong to the department and are appointed by the General Administration Department of the Government of Puducherry.</w:t>
      </w:r>
      <w:r>
        <w:rPr>
          <w:rFonts w:asciiTheme="minorHAnsi" w:hAnsiTheme="minorHAnsi" w:cstheme="minorHAnsi"/>
          <w:szCs w:val="24"/>
        </w:rPr>
        <w:t xml:space="preserve"> In technical cadre, there are around 360 Nos. of posts are lying vacant.</w:t>
      </w:r>
    </w:p>
    <w:p w:rsidR="000103C7" w:rsidRPr="005D0647" w:rsidRDefault="000103C7" w:rsidP="000103C7">
      <w:pPr>
        <w:pStyle w:val="EDNormal"/>
        <w:ind w:left="1080"/>
        <w:rPr>
          <w:rFonts w:asciiTheme="minorHAnsi" w:hAnsiTheme="minorHAnsi" w:cstheme="minorHAnsi"/>
          <w:sz w:val="20"/>
          <w:szCs w:val="20"/>
        </w:rPr>
      </w:pPr>
    </w:p>
    <w:p w:rsidR="000103C7" w:rsidRPr="00A4527C" w:rsidRDefault="000103C7" w:rsidP="000103C7">
      <w:pPr>
        <w:pStyle w:val="ListParagraph"/>
        <w:numPr>
          <w:ilvl w:val="0"/>
          <w:numId w:val="10"/>
        </w:numPr>
        <w:rPr>
          <w:rFonts w:asciiTheme="minorHAnsi" w:hAnsiTheme="minorHAnsi" w:cstheme="minorHAnsi"/>
          <w:b/>
          <w:bCs/>
          <w:u w:val="single"/>
        </w:rPr>
      </w:pPr>
      <w:r w:rsidRPr="00A4527C">
        <w:rPr>
          <w:rFonts w:asciiTheme="minorHAnsi" w:hAnsiTheme="minorHAnsi" w:cstheme="minorHAnsi"/>
          <w:b/>
          <w:bCs/>
          <w:u w:val="single"/>
        </w:rPr>
        <w:t>Transferability</w:t>
      </w:r>
    </w:p>
    <w:p w:rsidR="000103C7" w:rsidRPr="00A4527C" w:rsidRDefault="000103C7" w:rsidP="000103C7">
      <w:pPr>
        <w:pStyle w:val="EDNormal"/>
        <w:ind w:left="1080"/>
        <w:rPr>
          <w:rFonts w:asciiTheme="minorHAnsi" w:hAnsiTheme="minorHAnsi" w:cstheme="minorHAnsi"/>
          <w:szCs w:val="24"/>
        </w:rPr>
      </w:pPr>
      <w:r w:rsidRPr="00A4527C">
        <w:rPr>
          <w:rFonts w:asciiTheme="minorHAnsi" w:hAnsiTheme="minorHAnsi" w:cstheme="minorHAnsi"/>
          <w:szCs w:val="24"/>
        </w:rPr>
        <w:t xml:space="preserve">While all technical employees are transferable to any of the four regions, the </w:t>
      </w:r>
      <w:r w:rsidRPr="00A4527C">
        <w:rPr>
          <w:rFonts w:asciiTheme="minorHAnsi" w:hAnsiTheme="minorHAnsi" w:cstheme="minorHAnsi"/>
          <w:szCs w:val="24"/>
        </w:rPr>
        <w:lastRenderedPageBreak/>
        <w:t>department does not have any control over the appointment or transfer of ministerial employees.</w:t>
      </w:r>
    </w:p>
    <w:p w:rsidR="001A29BC" w:rsidRPr="005D0647" w:rsidRDefault="001A29BC" w:rsidP="000103C7">
      <w:pPr>
        <w:pStyle w:val="EDNormal"/>
        <w:ind w:left="1080"/>
        <w:rPr>
          <w:rFonts w:asciiTheme="minorHAnsi" w:hAnsiTheme="minorHAnsi" w:cstheme="minorHAnsi"/>
          <w:sz w:val="20"/>
          <w:szCs w:val="20"/>
        </w:rPr>
      </w:pPr>
    </w:p>
    <w:p w:rsidR="000103C7" w:rsidRDefault="000103C7" w:rsidP="000103C7">
      <w:pPr>
        <w:pStyle w:val="ED-H3"/>
      </w:pPr>
      <w:r w:rsidRPr="00105F99">
        <w:rPr>
          <w:rFonts w:cstheme="minorHAnsi"/>
          <w:szCs w:val="24"/>
        </w:rPr>
        <w:t>Training</w:t>
      </w:r>
    </w:p>
    <w:p w:rsidR="000103C7" w:rsidRPr="00A4527C" w:rsidRDefault="000103C7" w:rsidP="000103C7">
      <w:pPr>
        <w:pStyle w:val="EDNormal"/>
        <w:ind w:left="720"/>
        <w:rPr>
          <w:rFonts w:asciiTheme="minorHAnsi" w:hAnsiTheme="minorHAnsi" w:cstheme="minorHAnsi"/>
          <w:szCs w:val="24"/>
        </w:rPr>
      </w:pPr>
      <w:r w:rsidRPr="00A4527C">
        <w:rPr>
          <w:rFonts w:asciiTheme="minorHAnsi" w:hAnsiTheme="minorHAnsi" w:cstheme="minorHAnsi"/>
          <w:szCs w:val="24"/>
        </w:rPr>
        <w:t xml:space="preserve">There is a need to ascertain the training of the existing human resource and to identify their core competencies with an aim to enhance their skills and finally place them in appropriate job positions. PED endeavours to conduct training at periodic intervals for capacity building of its manpower. </w:t>
      </w:r>
      <w:r>
        <w:rPr>
          <w:rFonts w:asciiTheme="minorHAnsi" w:hAnsiTheme="minorHAnsi" w:cstheme="minorHAnsi"/>
          <w:szCs w:val="24"/>
        </w:rPr>
        <w:t xml:space="preserve">For imparting internal training, PED is having a full-fledged Technical Training Centre, which conducts in-house training and also deputes the technical officer/ staff to outside agencies for specialised training. </w:t>
      </w:r>
    </w:p>
    <w:p w:rsidR="000103C7" w:rsidRPr="005D0647" w:rsidRDefault="000103C7" w:rsidP="000103C7">
      <w:pPr>
        <w:pStyle w:val="EDNormal"/>
        <w:ind w:left="720"/>
        <w:rPr>
          <w:rFonts w:asciiTheme="minorHAnsi" w:hAnsiTheme="minorHAnsi" w:cstheme="minorHAnsi"/>
          <w:sz w:val="20"/>
          <w:szCs w:val="20"/>
        </w:rPr>
      </w:pPr>
    </w:p>
    <w:p w:rsidR="000103C7" w:rsidRPr="00223D6C" w:rsidRDefault="000103C7" w:rsidP="000103C7">
      <w:pPr>
        <w:pStyle w:val="ED-H3"/>
        <w:rPr>
          <w:rFonts w:cstheme="minorHAnsi"/>
          <w:szCs w:val="24"/>
        </w:rPr>
      </w:pPr>
      <w:r w:rsidRPr="00223D6C">
        <w:rPr>
          <w:rFonts w:cstheme="minorHAnsi"/>
          <w:szCs w:val="24"/>
        </w:rPr>
        <w:t>Safety of Employees</w:t>
      </w:r>
    </w:p>
    <w:p w:rsidR="000103C7" w:rsidRPr="00223D6C" w:rsidRDefault="000103C7" w:rsidP="000103C7">
      <w:pPr>
        <w:pStyle w:val="EDNormal"/>
        <w:ind w:left="720"/>
        <w:rPr>
          <w:lang w:val="en-IN"/>
        </w:rPr>
      </w:pPr>
      <w:r w:rsidRPr="00223D6C">
        <w:rPr>
          <w:lang w:val="en-IN"/>
        </w:rPr>
        <w:tab/>
        <w:t xml:space="preserve">At Technical Training Centre of PED, classes are being conducted towards electrical and mechanical safety for the staffs with in-house trainees. Every year it is programmed to conduct safety class for 24 batches with 20 staff each.  </w:t>
      </w:r>
    </w:p>
    <w:p w:rsidR="000103C7" w:rsidRPr="005D0647" w:rsidRDefault="000103C7" w:rsidP="000103C7">
      <w:pPr>
        <w:pStyle w:val="EDNormal"/>
        <w:rPr>
          <w:rFonts w:asciiTheme="minorHAnsi" w:hAnsiTheme="minorHAnsi" w:cstheme="minorHAnsi"/>
          <w:sz w:val="20"/>
          <w:szCs w:val="20"/>
        </w:rPr>
      </w:pPr>
    </w:p>
    <w:p w:rsidR="000103C7" w:rsidRDefault="000103C7" w:rsidP="000103C7">
      <w:pPr>
        <w:pStyle w:val="ED-H3"/>
      </w:pPr>
      <w:r w:rsidRPr="00105F99">
        <w:rPr>
          <w:rFonts w:cstheme="minorHAnsi"/>
          <w:szCs w:val="24"/>
        </w:rPr>
        <w:t>Rationalization of Workforce</w:t>
      </w:r>
    </w:p>
    <w:p w:rsidR="000103C7" w:rsidRPr="00A4527C" w:rsidRDefault="000103C7" w:rsidP="000103C7">
      <w:pPr>
        <w:pStyle w:val="EDNormal"/>
        <w:ind w:left="720"/>
        <w:rPr>
          <w:rFonts w:asciiTheme="minorHAnsi" w:hAnsiTheme="minorHAnsi" w:cstheme="minorHAnsi"/>
          <w:szCs w:val="24"/>
        </w:rPr>
      </w:pPr>
      <w:r w:rsidRPr="00A4527C">
        <w:rPr>
          <w:rFonts w:asciiTheme="minorHAnsi" w:hAnsiTheme="minorHAnsi" w:cstheme="minorHAnsi"/>
          <w:szCs w:val="24"/>
        </w:rPr>
        <w:t>At present, PED is planning to rationalize its workforce to meet the enhanced expectation of the consumers and to fulfill its obligation to supply reliable and quality power. Efficiency improvement in consumer affairs, loss reduction, raising the level of billing and collection efficiency, better management at sectional level and optimum use of the available staff strength are some of the goals sought to be achieved by the rationalization of the work force.  A proposal with respect the same has been sent to Ministry of Power, Government of India.</w:t>
      </w:r>
    </w:p>
    <w:p w:rsidR="000103C7" w:rsidRPr="005D0647" w:rsidRDefault="000103C7" w:rsidP="000103C7">
      <w:pPr>
        <w:pStyle w:val="EDNormal"/>
        <w:ind w:left="720"/>
        <w:rPr>
          <w:rFonts w:asciiTheme="minorHAnsi" w:hAnsiTheme="minorHAnsi" w:cstheme="minorHAnsi"/>
          <w:sz w:val="20"/>
          <w:szCs w:val="20"/>
        </w:rPr>
      </w:pPr>
    </w:p>
    <w:p w:rsidR="000103C7" w:rsidRPr="009C2059" w:rsidRDefault="000103C7" w:rsidP="000103C7">
      <w:pPr>
        <w:pStyle w:val="ED-H2"/>
        <w:rPr>
          <w:rFonts w:asciiTheme="minorHAnsi" w:hAnsiTheme="minorHAnsi" w:cstheme="minorHAnsi"/>
          <w:szCs w:val="24"/>
        </w:rPr>
      </w:pPr>
      <w:bookmarkStart w:id="66" w:name="_Toc523560498"/>
      <w:bookmarkStart w:id="67" w:name="_Toc523724476"/>
      <w:r w:rsidRPr="009C2059">
        <w:rPr>
          <w:rFonts w:asciiTheme="minorHAnsi" w:hAnsiTheme="minorHAnsi" w:cstheme="minorHAnsi"/>
          <w:szCs w:val="24"/>
        </w:rPr>
        <w:t>Initiatives to Improve the System (IT, Technological, Customer Services)</w:t>
      </w:r>
      <w:bookmarkEnd w:id="66"/>
      <w:bookmarkEnd w:id="67"/>
    </w:p>
    <w:p w:rsidR="000103C7" w:rsidRDefault="000103C7" w:rsidP="000103C7">
      <w:pPr>
        <w:pStyle w:val="ED-H3"/>
        <w:rPr>
          <w:b/>
        </w:rPr>
      </w:pPr>
      <w:r w:rsidRPr="00105F99">
        <w:rPr>
          <w:rFonts w:cstheme="minorHAnsi"/>
          <w:b/>
          <w:szCs w:val="24"/>
        </w:rPr>
        <w:t>Smart Grid Project in Puducherry</w:t>
      </w:r>
    </w:p>
    <w:p w:rsidR="000103C7" w:rsidRDefault="000103C7" w:rsidP="000103C7">
      <w:pPr>
        <w:pStyle w:val="EDNormal"/>
        <w:ind w:left="720"/>
        <w:rPr>
          <w:rFonts w:asciiTheme="minorHAnsi" w:hAnsiTheme="minorHAnsi" w:cstheme="minorHAnsi"/>
          <w:szCs w:val="24"/>
        </w:rPr>
      </w:pPr>
      <w:r w:rsidRPr="00A4527C">
        <w:rPr>
          <w:rFonts w:asciiTheme="minorHAnsi" w:hAnsiTheme="minorHAnsi" w:cstheme="minorHAnsi"/>
          <w:szCs w:val="24"/>
        </w:rPr>
        <w:t>The Government of India, Ministry of Power (MoP) has taken the process of establishment of smart grids in India with an objective of achieving most efficient management of distribution system and to deliver best possible service to consumers. For this purpose MoP has set up “India Smart Grid Task Force (ISGTF)” and “Indian Smart Grid Forum (ISGF)” to evolve a roadmap for development of smart grid. The MoP has proposed to promote fourteen smart grid pilot projects in the country and one such project has been planned at Puducherry Urban Area</w:t>
      </w:r>
      <w:r>
        <w:rPr>
          <w:rFonts w:asciiTheme="minorHAnsi" w:hAnsiTheme="minorHAnsi" w:cstheme="minorHAnsi"/>
          <w:szCs w:val="24"/>
        </w:rPr>
        <w:t>.</w:t>
      </w:r>
    </w:p>
    <w:p w:rsidR="000103C7" w:rsidRDefault="000103C7" w:rsidP="000103C7">
      <w:pPr>
        <w:pStyle w:val="EDNormal"/>
        <w:ind w:left="720"/>
        <w:rPr>
          <w:rFonts w:asciiTheme="minorHAnsi" w:hAnsiTheme="minorHAnsi" w:cstheme="minorHAnsi"/>
          <w:lang w:val="en-US"/>
        </w:rPr>
      </w:pPr>
      <w:r w:rsidRPr="004900B3">
        <w:rPr>
          <w:rFonts w:asciiTheme="minorHAnsi" w:hAnsiTheme="minorHAnsi" w:cstheme="minorHAnsi"/>
          <w:lang w:val="en-US"/>
        </w:rPr>
        <w:t>The Electricity Department, Puducherry is one of the 14 selected cities under the National Smart Grid Mission and approval of the Ministry of Power had also been accorded to implement the pilot project with Installation of 34,600 nos of Smart Meters in the Boulevard area of the Puducherry in the town limits and all the LT CT operated services at a cost of Rs. 33.83 crores with 50% contribution by the Government of</w:t>
      </w:r>
      <w:r w:rsidR="009C2059">
        <w:rPr>
          <w:rFonts w:asciiTheme="minorHAnsi" w:hAnsiTheme="minorHAnsi" w:cstheme="minorHAnsi"/>
          <w:lang w:val="en-US"/>
        </w:rPr>
        <w:t xml:space="preserve"> India. The consumer shall get </w:t>
      </w:r>
      <w:r w:rsidRPr="004900B3">
        <w:rPr>
          <w:rFonts w:asciiTheme="minorHAnsi" w:hAnsiTheme="minorHAnsi" w:cstheme="minorHAnsi"/>
          <w:lang w:val="en-US"/>
        </w:rPr>
        <w:t xml:space="preserve">the following benefits. </w:t>
      </w:r>
    </w:p>
    <w:p w:rsidR="00146432" w:rsidRPr="004900B3" w:rsidRDefault="00146432" w:rsidP="000103C7">
      <w:pPr>
        <w:pStyle w:val="EDNormal"/>
        <w:ind w:left="720"/>
        <w:rPr>
          <w:rFonts w:asciiTheme="minorHAnsi" w:hAnsiTheme="minorHAnsi" w:cstheme="minorHAnsi"/>
          <w:lang w:val="en-US"/>
        </w:rPr>
      </w:pPr>
    </w:p>
    <w:p w:rsidR="000103C7" w:rsidRPr="004900B3" w:rsidRDefault="000103C7" w:rsidP="000103C7">
      <w:pPr>
        <w:pStyle w:val="EDNormal"/>
        <w:numPr>
          <w:ilvl w:val="0"/>
          <w:numId w:val="41"/>
        </w:numPr>
        <w:rPr>
          <w:rFonts w:asciiTheme="minorHAnsi" w:hAnsiTheme="minorHAnsi" w:cstheme="minorHAnsi"/>
          <w:lang w:val="en-IN"/>
        </w:rPr>
      </w:pPr>
      <w:r w:rsidRPr="004900B3">
        <w:rPr>
          <w:rFonts w:asciiTheme="minorHAnsi" w:hAnsiTheme="minorHAnsi" w:cstheme="minorHAnsi"/>
          <w:lang w:val="en-US"/>
        </w:rPr>
        <w:t xml:space="preserve">Consumer Engagement </w:t>
      </w:r>
      <w:r w:rsidRPr="004900B3">
        <w:rPr>
          <w:rFonts w:asciiTheme="minorHAnsi" w:hAnsiTheme="minorHAnsi" w:cstheme="minorHAnsi"/>
          <w:lang w:val="en-IN"/>
        </w:rPr>
        <w:t>&amp; empowerment with greater control over their energy use and bill.</w:t>
      </w:r>
    </w:p>
    <w:p w:rsidR="000103C7" w:rsidRPr="004900B3" w:rsidRDefault="000103C7" w:rsidP="000103C7">
      <w:pPr>
        <w:pStyle w:val="EDNormal"/>
        <w:numPr>
          <w:ilvl w:val="0"/>
          <w:numId w:val="41"/>
        </w:numPr>
        <w:rPr>
          <w:rFonts w:asciiTheme="minorHAnsi" w:hAnsiTheme="minorHAnsi" w:cstheme="minorHAnsi"/>
          <w:lang w:val="en-IN"/>
        </w:rPr>
      </w:pPr>
      <w:r w:rsidRPr="004900B3">
        <w:rPr>
          <w:rFonts w:asciiTheme="minorHAnsi" w:hAnsiTheme="minorHAnsi" w:cstheme="minorHAnsi"/>
          <w:lang w:val="en-IN"/>
        </w:rPr>
        <w:t xml:space="preserve">Improved quality &amp; reliability of power supply </w:t>
      </w:r>
    </w:p>
    <w:p w:rsidR="000103C7" w:rsidRPr="004900B3" w:rsidRDefault="000103C7" w:rsidP="000103C7">
      <w:pPr>
        <w:pStyle w:val="EDNormal"/>
        <w:numPr>
          <w:ilvl w:val="0"/>
          <w:numId w:val="41"/>
        </w:numPr>
        <w:rPr>
          <w:rFonts w:asciiTheme="minorHAnsi" w:hAnsiTheme="minorHAnsi" w:cstheme="minorHAnsi"/>
          <w:lang w:val="en-IN"/>
        </w:rPr>
      </w:pPr>
      <w:r w:rsidRPr="004900B3">
        <w:rPr>
          <w:rFonts w:asciiTheme="minorHAnsi" w:hAnsiTheme="minorHAnsi" w:cstheme="minorHAnsi"/>
          <w:lang w:val="en-US"/>
        </w:rPr>
        <w:t>Increased life of appliances and gadgets due to improved power quality</w:t>
      </w:r>
    </w:p>
    <w:p w:rsidR="000103C7" w:rsidRPr="004900B3" w:rsidRDefault="000103C7" w:rsidP="000103C7">
      <w:pPr>
        <w:pStyle w:val="EDNormal"/>
        <w:numPr>
          <w:ilvl w:val="0"/>
          <w:numId w:val="41"/>
        </w:numPr>
        <w:rPr>
          <w:rFonts w:asciiTheme="minorHAnsi" w:hAnsiTheme="minorHAnsi" w:cstheme="minorHAnsi"/>
          <w:lang w:val="en-IN"/>
        </w:rPr>
      </w:pPr>
      <w:r w:rsidRPr="004900B3">
        <w:rPr>
          <w:rFonts w:asciiTheme="minorHAnsi" w:hAnsiTheme="minorHAnsi" w:cstheme="minorHAnsi"/>
          <w:lang w:val="en-US"/>
        </w:rPr>
        <w:t>No need to invest in power backup solutions like inverters and Gensets.</w:t>
      </w:r>
    </w:p>
    <w:p w:rsidR="000103C7" w:rsidRPr="004900B3" w:rsidRDefault="000103C7" w:rsidP="000103C7">
      <w:pPr>
        <w:pStyle w:val="EDNormal"/>
        <w:numPr>
          <w:ilvl w:val="0"/>
          <w:numId w:val="41"/>
        </w:numPr>
        <w:rPr>
          <w:rFonts w:asciiTheme="minorHAnsi" w:hAnsiTheme="minorHAnsi" w:cstheme="minorHAnsi"/>
          <w:lang w:val="en-IN"/>
        </w:rPr>
      </w:pPr>
      <w:r w:rsidRPr="004900B3">
        <w:rPr>
          <w:rFonts w:asciiTheme="minorHAnsi" w:hAnsiTheme="minorHAnsi" w:cstheme="minorHAnsi"/>
          <w:lang w:val="en-US"/>
        </w:rPr>
        <w:t>Rooftop renewable generation with facility to feed excess power into the grid</w:t>
      </w:r>
    </w:p>
    <w:p w:rsidR="000103C7" w:rsidRPr="004900B3" w:rsidRDefault="000103C7" w:rsidP="000103C7">
      <w:pPr>
        <w:pStyle w:val="EDNormal"/>
        <w:numPr>
          <w:ilvl w:val="0"/>
          <w:numId w:val="41"/>
        </w:numPr>
        <w:rPr>
          <w:rFonts w:asciiTheme="minorHAnsi" w:hAnsiTheme="minorHAnsi" w:cstheme="minorHAnsi"/>
          <w:lang w:val="en-IN"/>
        </w:rPr>
      </w:pPr>
      <w:r w:rsidRPr="004900B3">
        <w:rPr>
          <w:rFonts w:asciiTheme="minorHAnsi" w:hAnsiTheme="minorHAnsi" w:cstheme="minorHAnsi"/>
          <w:lang w:val="en-IN"/>
        </w:rPr>
        <w:t>Improvement in overall consumer satisfaction.</w:t>
      </w:r>
    </w:p>
    <w:p w:rsidR="000103C7" w:rsidRPr="004900B3" w:rsidRDefault="000103C7" w:rsidP="000103C7">
      <w:pPr>
        <w:pStyle w:val="EDNormal"/>
        <w:ind w:left="720"/>
        <w:rPr>
          <w:rFonts w:asciiTheme="minorHAnsi" w:hAnsiTheme="minorHAnsi" w:cstheme="minorHAnsi"/>
          <w:lang w:val="en-IN"/>
        </w:rPr>
      </w:pPr>
      <w:r w:rsidRPr="004900B3">
        <w:rPr>
          <w:rFonts w:asciiTheme="minorHAnsi" w:hAnsiTheme="minorHAnsi" w:cstheme="minorHAnsi"/>
          <w:bCs/>
          <w:lang w:val="en-IN"/>
        </w:rPr>
        <w:t xml:space="preserve">The work </w:t>
      </w:r>
      <w:r>
        <w:rPr>
          <w:rFonts w:asciiTheme="minorHAnsi" w:hAnsiTheme="minorHAnsi" w:cstheme="minorHAnsi"/>
          <w:bCs/>
          <w:lang w:val="en-IN"/>
        </w:rPr>
        <w:t>is under execution by</w:t>
      </w:r>
      <w:r w:rsidRPr="004900B3">
        <w:rPr>
          <w:rFonts w:asciiTheme="minorHAnsi" w:hAnsiTheme="minorHAnsi" w:cstheme="minorHAnsi"/>
          <w:bCs/>
          <w:lang w:val="en-IN"/>
        </w:rPr>
        <w:t xml:space="preserve"> M/s Dong Fang, China</w:t>
      </w:r>
      <w:r>
        <w:rPr>
          <w:rFonts w:asciiTheme="minorHAnsi" w:hAnsiTheme="minorHAnsi" w:cstheme="minorHAnsi"/>
          <w:bCs/>
          <w:lang w:val="en-IN"/>
        </w:rPr>
        <w:t xml:space="preserve"> under investor model, with balance 50% of the cost of the project invested by the firm.</w:t>
      </w:r>
      <w:r w:rsidRPr="004900B3">
        <w:rPr>
          <w:rFonts w:asciiTheme="minorHAnsi" w:hAnsiTheme="minorHAnsi" w:cstheme="minorHAnsi"/>
          <w:bCs/>
          <w:lang w:val="en-IN"/>
        </w:rPr>
        <w:t xml:space="preserve"> The Project </w:t>
      </w:r>
      <w:r w:rsidR="009C2059" w:rsidRPr="004900B3">
        <w:rPr>
          <w:rFonts w:asciiTheme="minorHAnsi" w:hAnsiTheme="minorHAnsi" w:cstheme="minorHAnsi"/>
          <w:bCs/>
          <w:lang w:val="en-IN"/>
        </w:rPr>
        <w:t>is programmed</w:t>
      </w:r>
      <w:r w:rsidRPr="004900B3">
        <w:rPr>
          <w:rFonts w:asciiTheme="minorHAnsi" w:hAnsiTheme="minorHAnsi" w:cstheme="minorHAnsi"/>
          <w:bCs/>
          <w:lang w:val="en-IN"/>
        </w:rPr>
        <w:t xml:space="preserve"> to be completed </w:t>
      </w:r>
      <w:r>
        <w:rPr>
          <w:rFonts w:asciiTheme="minorHAnsi" w:hAnsiTheme="minorHAnsi" w:cstheme="minorHAnsi"/>
          <w:bCs/>
          <w:lang w:val="en-IN"/>
        </w:rPr>
        <w:t xml:space="preserve">by the end of year 2018. </w:t>
      </w:r>
      <w:r w:rsidRPr="004900B3">
        <w:rPr>
          <w:rFonts w:asciiTheme="minorHAnsi" w:hAnsiTheme="minorHAnsi" w:cstheme="minorHAnsi"/>
          <w:bCs/>
          <w:lang w:val="en-IN"/>
        </w:rPr>
        <w:t xml:space="preserve"> So far, 20500 Nos. of Smart Meters had</w:t>
      </w:r>
      <w:r w:rsidR="009C2059">
        <w:rPr>
          <w:rFonts w:asciiTheme="minorHAnsi" w:hAnsiTheme="minorHAnsi" w:cstheme="minorHAnsi"/>
          <w:bCs/>
          <w:lang w:val="en-IN"/>
        </w:rPr>
        <w:t xml:space="preserve"> been installed in the consumer</w:t>
      </w:r>
      <w:r w:rsidRPr="004900B3">
        <w:rPr>
          <w:rFonts w:asciiTheme="minorHAnsi" w:hAnsiTheme="minorHAnsi" w:cstheme="minorHAnsi"/>
          <w:bCs/>
          <w:lang w:val="en-IN"/>
        </w:rPr>
        <w:t xml:space="preserve"> premises in town area and the Smart Grid Control Centre is ready for functioning. </w:t>
      </w:r>
    </w:p>
    <w:p w:rsidR="000103C7" w:rsidRPr="00A4527C" w:rsidRDefault="000103C7" w:rsidP="000103C7">
      <w:pPr>
        <w:pStyle w:val="EDNormal"/>
        <w:ind w:left="720"/>
        <w:rPr>
          <w:rFonts w:asciiTheme="minorHAnsi" w:hAnsiTheme="minorHAnsi" w:cstheme="minorHAnsi"/>
          <w:szCs w:val="24"/>
        </w:rPr>
      </w:pPr>
    </w:p>
    <w:p w:rsidR="000103C7" w:rsidRDefault="000103C7" w:rsidP="000103C7">
      <w:pPr>
        <w:pStyle w:val="ED-H3"/>
        <w:rPr>
          <w:b/>
        </w:rPr>
      </w:pPr>
      <w:r w:rsidRPr="00105F99">
        <w:rPr>
          <w:rFonts w:cstheme="minorHAnsi"/>
          <w:b/>
          <w:szCs w:val="24"/>
        </w:rPr>
        <w:t>DELP Scheme (DSM based Efficient Lighting Programme)</w:t>
      </w:r>
      <w:r>
        <w:rPr>
          <w:rFonts w:cstheme="minorHAnsi"/>
          <w:b/>
          <w:szCs w:val="24"/>
        </w:rPr>
        <w:t xml:space="preserve"> and UJALA (Unnath Jyothi by Affordable LEDs for All)</w:t>
      </w:r>
    </w:p>
    <w:p w:rsidR="000103C7" w:rsidRPr="00A4527C" w:rsidRDefault="000103C7" w:rsidP="000103C7">
      <w:pPr>
        <w:pStyle w:val="EDNormal"/>
        <w:ind w:left="720"/>
        <w:rPr>
          <w:rFonts w:asciiTheme="minorHAnsi" w:hAnsiTheme="minorHAnsi" w:cstheme="minorHAnsi"/>
          <w:szCs w:val="24"/>
        </w:rPr>
      </w:pPr>
      <w:r w:rsidRPr="00A4527C">
        <w:rPr>
          <w:rFonts w:asciiTheme="minorHAnsi" w:hAnsiTheme="minorHAnsi" w:cstheme="minorHAnsi"/>
          <w:szCs w:val="24"/>
        </w:rPr>
        <w:t>Ministry of Power and Bureau of Energy Efficiency have been promoting energy efficiency. Efficient lighting in households, which accounts for 20% of energy, is an important thrust area to reduce peak demand as well as enhance awareness about energy efficiency and conservation to household consumers</w:t>
      </w:r>
    </w:p>
    <w:p w:rsidR="000103C7" w:rsidRDefault="000103C7" w:rsidP="000103C7">
      <w:pPr>
        <w:pStyle w:val="EDNormal"/>
        <w:ind w:left="720"/>
        <w:rPr>
          <w:rFonts w:asciiTheme="minorHAnsi" w:hAnsiTheme="minorHAnsi" w:cstheme="minorHAnsi"/>
          <w:szCs w:val="24"/>
        </w:rPr>
      </w:pPr>
      <w:r w:rsidRPr="00A4527C">
        <w:rPr>
          <w:rFonts w:asciiTheme="minorHAnsi" w:hAnsiTheme="minorHAnsi" w:cstheme="minorHAnsi"/>
          <w:szCs w:val="24"/>
        </w:rPr>
        <w:t xml:space="preserve"> PED</w:t>
      </w:r>
      <w:r>
        <w:rPr>
          <w:rFonts w:asciiTheme="minorHAnsi" w:hAnsiTheme="minorHAnsi" w:cstheme="minorHAnsi"/>
          <w:szCs w:val="24"/>
        </w:rPr>
        <w:t xml:space="preserve"> has implemented</w:t>
      </w:r>
      <w:r w:rsidRPr="00A4527C">
        <w:rPr>
          <w:rFonts w:asciiTheme="minorHAnsi" w:hAnsiTheme="minorHAnsi" w:cstheme="minorHAnsi"/>
          <w:szCs w:val="24"/>
        </w:rPr>
        <w:t xml:space="preserve"> DSM based efficient lighting programme under demand side management programme in Puducherry along with Energy Efficiency Services Limited (EESL). </w:t>
      </w:r>
      <w:r>
        <w:rPr>
          <w:rFonts w:asciiTheme="minorHAnsi" w:hAnsiTheme="minorHAnsi" w:cstheme="minorHAnsi"/>
          <w:szCs w:val="24"/>
        </w:rPr>
        <w:t xml:space="preserve">As per the scheme, </w:t>
      </w:r>
      <w:r w:rsidRPr="00A4527C">
        <w:rPr>
          <w:rFonts w:asciiTheme="minorHAnsi" w:hAnsiTheme="minorHAnsi" w:cstheme="minorHAnsi"/>
          <w:szCs w:val="24"/>
        </w:rPr>
        <w:t xml:space="preserve">3 LED bulbs per household </w:t>
      </w:r>
      <w:r>
        <w:rPr>
          <w:rFonts w:asciiTheme="minorHAnsi" w:hAnsiTheme="minorHAnsi" w:cstheme="minorHAnsi"/>
          <w:szCs w:val="24"/>
        </w:rPr>
        <w:t xml:space="preserve">were distributed </w:t>
      </w:r>
      <w:r w:rsidRPr="00A4527C">
        <w:rPr>
          <w:rFonts w:asciiTheme="minorHAnsi" w:hAnsiTheme="minorHAnsi" w:cstheme="minorHAnsi"/>
          <w:szCs w:val="24"/>
        </w:rPr>
        <w:t xml:space="preserve">at a cost of Rs. 10 per bulb in exchange of ordinary incandescent bulb. This scheme will help consumers reduce their electricity bills by way of energy savings resulting from use of energy efficient lamps. </w:t>
      </w:r>
      <w:r>
        <w:rPr>
          <w:rFonts w:asciiTheme="minorHAnsi" w:hAnsiTheme="minorHAnsi" w:cstheme="minorHAnsi"/>
          <w:szCs w:val="24"/>
        </w:rPr>
        <w:t>The investment made by EESL is being paid by PED on a periodic basis on the accrued energy efficiency resource benefits and the same is recovered through ARR and tariff.</w:t>
      </w:r>
    </w:p>
    <w:p w:rsidR="000103C7" w:rsidRDefault="000103C7" w:rsidP="000103C7">
      <w:pPr>
        <w:pStyle w:val="EDNormal"/>
        <w:ind w:left="720"/>
        <w:rPr>
          <w:rFonts w:asciiTheme="minorHAnsi" w:hAnsiTheme="minorHAnsi" w:cstheme="minorHAnsi"/>
          <w:szCs w:val="24"/>
        </w:rPr>
      </w:pPr>
    </w:p>
    <w:p w:rsidR="000103C7" w:rsidRPr="00A4527C" w:rsidRDefault="000103C7" w:rsidP="000103C7">
      <w:pPr>
        <w:pStyle w:val="EDNormal"/>
        <w:ind w:left="720"/>
        <w:rPr>
          <w:rFonts w:asciiTheme="minorHAnsi" w:hAnsiTheme="minorHAnsi" w:cstheme="minorHAnsi"/>
          <w:szCs w:val="24"/>
        </w:rPr>
      </w:pPr>
      <w:r>
        <w:rPr>
          <w:rFonts w:asciiTheme="minorHAnsi" w:hAnsiTheme="minorHAnsi" w:cstheme="minorHAnsi"/>
          <w:szCs w:val="24"/>
        </w:rPr>
        <w:t>In addition to the above, under the schem</w:t>
      </w:r>
      <w:r w:rsidR="001D660C">
        <w:rPr>
          <w:rFonts w:asciiTheme="minorHAnsi" w:hAnsiTheme="minorHAnsi" w:cstheme="minorHAnsi"/>
          <w:szCs w:val="24"/>
        </w:rPr>
        <w:t>e of Government of India viz. “</w:t>
      </w:r>
      <w:r>
        <w:rPr>
          <w:rFonts w:asciiTheme="minorHAnsi" w:hAnsiTheme="minorHAnsi" w:cstheme="minorHAnsi"/>
          <w:szCs w:val="24"/>
        </w:rPr>
        <w:t>Gram Swaraj Abhiyan”, a total of 40,500 Bulbs have been distributed to the public by EESL so far, at subsidized rates (30500 Bulbs in Puducherry region and 10000 Bulbs in Karaikal region) and another lot of 15000 Bulbs being distributed in Karaikal region.</w:t>
      </w:r>
    </w:p>
    <w:p w:rsidR="000103C7" w:rsidRPr="00104125" w:rsidRDefault="000103C7" w:rsidP="000103C7">
      <w:pPr>
        <w:pStyle w:val="EDNormal"/>
        <w:ind w:left="720"/>
        <w:rPr>
          <w:rFonts w:asciiTheme="minorHAnsi" w:hAnsiTheme="minorHAnsi" w:cstheme="minorHAnsi"/>
          <w:szCs w:val="24"/>
        </w:rPr>
      </w:pPr>
    </w:p>
    <w:p w:rsidR="000103C7" w:rsidRDefault="000103C7" w:rsidP="000103C7">
      <w:pPr>
        <w:pStyle w:val="EDNormal"/>
        <w:ind w:left="720"/>
        <w:rPr>
          <w:rFonts w:asciiTheme="minorHAnsi" w:hAnsiTheme="minorHAnsi" w:cstheme="minorHAnsi"/>
          <w:szCs w:val="24"/>
        </w:rPr>
      </w:pPr>
      <w:r>
        <w:rPr>
          <w:rFonts w:asciiTheme="minorHAnsi" w:hAnsiTheme="minorHAnsi" w:cstheme="minorHAnsi"/>
          <w:szCs w:val="24"/>
        </w:rPr>
        <w:t>PED is already insisting EESL to implement UJALA scheme, on a permanent basis so as to make available the LED Bulbs, LED Tubelights and Energy Efficient Fans at affordable price to the public of Puducherry. EESL is expected to commence the UJALA implementation on a permanent basis in Puducherry.</w:t>
      </w:r>
    </w:p>
    <w:p w:rsidR="000103C7" w:rsidRDefault="000103C7" w:rsidP="000103C7">
      <w:pPr>
        <w:pStyle w:val="EDNormal"/>
        <w:ind w:left="720"/>
        <w:rPr>
          <w:rFonts w:asciiTheme="minorHAnsi" w:hAnsiTheme="minorHAnsi" w:cstheme="minorHAnsi"/>
          <w:szCs w:val="24"/>
        </w:rPr>
      </w:pPr>
    </w:p>
    <w:p w:rsidR="002A2F33" w:rsidRDefault="002A2F33" w:rsidP="000103C7">
      <w:pPr>
        <w:pStyle w:val="EDNormal"/>
        <w:ind w:left="720"/>
        <w:rPr>
          <w:rFonts w:asciiTheme="minorHAnsi" w:hAnsiTheme="minorHAnsi" w:cstheme="minorHAnsi"/>
          <w:szCs w:val="24"/>
        </w:rPr>
      </w:pPr>
    </w:p>
    <w:p w:rsidR="00146432" w:rsidRPr="00104125" w:rsidRDefault="00146432" w:rsidP="000103C7">
      <w:pPr>
        <w:pStyle w:val="EDNormal"/>
        <w:ind w:left="720"/>
        <w:rPr>
          <w:rFonts w:asciiTheme="minorHAnsi" w:hAnsiTheme="minorHAnsi" w:cstheme="minorHAnsi"/>
          <w:szCs w:val="24"/>
        </w:rPr>
      </w:pPr>
    </w:p>
    <w:p w:rsidR="000103C7" w:rsidRPr="009C2059" w:rsidRDefault="000103C7" w:rsidP="000103C7">
      <w:pPr>
        <w:pStyle w:val="ED-H3"/>
        <w:rPr>
          <w:b/>
        </w:rPr>
      </w:pPr>
      <w:r w:rsidRPr="009C2059">
        <w:rPr>
          <w:b/>
        </w:rPr>
        <w:t>Conversion of conventional Street Lights by LED street lights:</w:t>
      </w:r>
    </w:p>
    <w:p w:rsidR="000103C7" w:rsidRPr="009C2059" w:rsidRDefault="000103C7" w:rsidP="000103C7">
      <w:pPr>
        <w:spacing w:after="100" w:afterAutospacing="1" w:line="300" w:lineRule="exact"/>
        <w:ind w:left="709" w:right="-418"/>
        <w:rPr>
          <w:rFonts w:asciiTheme="minorHAnsi" w:eastAsia="Calibri" w:hAnsiTheme="minorHAnsi" w:cstheme="minorHAnsi"/>
        </w:rPr>
      </w:pPr>
      <w:r w:rsidRPr="009C2059">
        <w:rPr>
          <w:rFonts w:asciiTheme="minorHAnsi" w:eastAsia="Calibri" w:hAnsiTheme="minorHAnsi" w:cstheme="minorHAnsi"/>
        </w:rPr>
        <w:t xml:space="preserve">The Electricity Department is maintaining 46,750 Nos.of Street Lights in the U.T of Puducherry, consisting of 36,950 Nos of Single Tube Lights, 9,800 Nos.of Sodium Vapour Lamps, Metal Halide Lamps and LED Lamps of various categories. In addition there are around 9,400 Nos.of Street Light maintained by PWD/Local Bodies and PADCO, consisting of 1148 Nos. of 400 watts Metal Halide Lamps 3,136 Nos of 400 Watts Mini Mast Lights. 5004 Nos.of 400 Watts High Mast Lights,112 Nos.of 400 Watts Super High Mast Lights. It has been decided to convert the existing conventional street lights into highly reliable energy efficient LED street lights and to set up a computerized control and monitoring centre introducing smart solution in street lighting. Tenders were called for by PED for implementation of the project on ‘Deemed Savings Annuity Payment’ model.  The entire investment will be taken care by the project developer which will be repaid by the State Government in Equated monthly installment over a period of seven years.  However, as none of the tenderers have met the Bid Qualifying Requirements, the tender was cancelled. It has been decided to go far retendering by suitably modifying the BQR. On implementation of the scheme, it is expected that the annual energy consumption of the street lights will be reduced by 50%. </w:t>
      </w:r>
    </w:p>
    <w:p w:rsidR="000103C7" w:rsidRDefault="000103C7" w:rsidP="000103C7">
      <w:pPr>
        <w:pStyle w:val="ED-H3"/>
        <w:rPr>
          <w:b/>
        </w:rPr>
      </w:pPr>
      <w:r w:rsidRPr="00105F99">
        <w:rPr>
          <w:rFonts w:cstheme="minorHAnsi"/>
          <w:b/>
          <w:szCs w:val="24"/>
        </w:rPr>
        <w:t>Technology Upgradation</w:t>
      </w:r>
    </w:p>
    <w:p w:rsidR="000103C7" w:rsidRPr="00A4527C" w:rsidRDefault="000103C7" w:rsidP="000103C7">
      <w:pPr>
        <w:pStyle w:val="EDNormal"/>
        <w:ind w:left="720"/>
        <w:rPr>
          <w:rFonts w:asciiTheme="minorHAnsi" w:hAnsiTheme="minorHAnsi" w:cstheme="minorHAnsi"/>
          <w:szCs w:val="24"/>
        </w:rPr>
      </w:pPr>
      <w:r w:rsidRPr="00A4527C">
        <w:rPr>
          <w:rFonts w:asciiTheme="minorHAnsi" w:hAnsiTheme="minorHAnsi" w:cstheme="minorHAnsi"/>
          <w:szCs w:val="24"/>
        </w:rPr>
        <w:t>As per the Commission’s directive to upgrade transmission &amp; distribution lines and substations with latest and advanced technology, PED has taken certain measures to ensure compliance with directive.</w:t>
      </w:r>
    </w:p>
    <w:p w:rsidR="000103C7" w:rsidRPr="009C2059" w:rsidRDefault="000103C7" w:rsidP="000103C7">
      <w:pPr>
        <w:pStyle w:val="EDNormal"/>
        <w:numPr>
          <w:ilvl w:val="0"/>
          <w:numId w:val="8"/>
        </w:numPr>
        <w:rPr>
          <w:rFonts w:asciiTheme="minorHAnsi" w:hAnsiTheme="minorHAnsi" w:cstheme="minorHAnsi"/>
          <w:szCs w:val="24"/>
          <w:lang w:val="en-US"/>
        </w:rPr>
      </w:pPr>
      <w:r w:rsidRPr="009C2059">
        <w:rPr>
          <w:rFonts w:asciiTheme="minorHAnsi" w:hAnsiTheme="minorHAnsi" w:cstheme="minorHAnsi"/>
          <w:szCs w:val="24"/>
          <w:lang w:val="en-US"/>
        </w:rPr>
        <w:t xml:space="preserve">Replacement of mechanical/ struck-up/ defective meters with electronic meters. As part of the same 91,000 meters are to be replaced in FY 2015-16 under R-APDRP and plan schemes  and 1,18,000 meters in FY 2016-17 under R-APDRP, plan , IPDS and DDUGJY schemes. </w:t>
      </w:r>
    </w:p>
    <w:p w:rsidR="000103C7" w:rsidRPr="00A4527C" w:rsidRDefault="00146432" w:rsidP="000103C7">
      <w:pPr>
        <w:pStyle w:val="EDNormal"/>
        <w:numPr>
          <w:ilvl w:val="0"/>
          <w:numId w:val="8"/>
        </w:numPr>
        <w:rPr>
          <w:rFonts w:asciiTheme="minorHAnsi" w:hAnsiTheme="minorHAnsi" w:cstheme="minorHAnsi"/>
          <w:szCs w:val="24"/>
          <w:lang w:val="en-US"/>
        </w:rPr>
      </w:pPr>
      <w:r>
        <w:rPr>
          <w:rFonts w:asciiTheme="minorHAnsi" w:hAnsiTheme="minorHAnsi" w:cstheme="minorHAnsi"/>
          <w:szCs w:val="24"/>
          <w:lang w:val="en-US"/>
        </w:rPr>
        <w:t xml:space="preserve">Replacement of old oil switch gears </w:t>
      </w:r>
      <w:r w:rsidR="000103C7" w:rsidRPr="00A4527C">
        <w:rPr>
          <w:rFonts w:asciiTheme="minorHAnsi" w:hAnsiTheme="minorHAnsi" w:cstheme="minorHAnsi"/>
          <w:szCs w:val="24"/>
          <w:lang w:val="en-US"/>
        </w:rPr>
        <w:t>with SF6.</w:t>
      </w:r>
    </w:p>
    <w:p w:rsidR="000103C7" w:rsidRPr="00A4527C" w:rsidRDefault="000103C7" w:rsidP="000103C7">
      <w:pPr>
        <w:pStyle w:val="EDNormal"/>
        <w:numPr>
          <w:ilvl w:val="0"/>
          <w:numId w:val="8"/>
        </w:numPr>
        <w:rPr>
          <w:rFonts w:asciiTheme="minorHAnsi" w:hAnsiTheme="minorHAnsi" w:cstheme="minorHAnsi"/>
          <w:szCs w:val="24"/>
          <w:lang w:val="en-US"/>
        </w:rPr>
      </w:pPr>
      <w:r w:rsidRPr="00A4527C">
        <w:rPr>
          <w:rFonts w:asciiTheme="minorHAnsi" w:hAnsiTheme="minorHAnsi" w:cstheme="minorHAnsi"/>
          <w:szCs w:val="24"/>
          <w:lang w:val="en-US"/>
        </w:rPr>
        <w:t>Energisation of energy efficient distribution transformers.</w:t>
      </w:r>
    </w:p>
    <w:p w:rsidR="000103C7" w:rsidRPr="00A4527C" w:rsidRDefault="000103C7" w:rsidP="000103C7">
      <w:pPr>
        <w:pStyle w:val="EDNormal"/>
        <w:numPr>
          <w:ilvl w:val="0"/>
          <w:numId w:val="8"/>
        </w:numPr>
        <w:rPr>
          <w:rFonts w:asciiTheme="minorHAnsi" w:hAnsiTheme="minorHAnsi" w:cstheme="minorHAnsi"/>
          <w:szCs w:val="24"/>
          <w:lang w:val="en-US"/>
        </w:rPr>
      </w:pPr>
      <w:r w:rsidRPr="00A4527C">
        <w:rPr>
          <w:rFonts w:asciiTheme="minorHAnsi" w:hAnsiTheme="minorHAnsi" w:cstheme="minorHAnsi"/>
          <w:szCs w:val="24"/>
          <w:lang w:val="en-US"/>
        </w:rPr>
        <w:t>Introduction of SCADA DMS.</w:t>
      </w:r>
    </w:p>
    <w:p w:rsidR="000103C7" w:rsidRPr="00A4527C" w:rsidRDefault="000103C7" w:rsidP="000103C7">
      <w:pPr>
        <w:pStyle w:val="EDNormal"/>
        <w:numPr>
          <w:ilvl w:val="0"/>
          <w:numId w:val="8"/>
        </w:numPr>
        <w:rPr>
          <w:rFonts w:asciiTheme="minorHAnsi" w:hAnsiTheme="minorHAnsi" w:cstheme="minorHAnsi"/>
          <w:szCs w:val="24"/>
          <w:lang w:val="en-US"/>
        </w:rPr>
      </w:pPr>
      <w:r w:rsidRPr="00A4527C">
        <w:rPr>
          <w:rFonts w:asciiTheme="minorHAnsi" w:hAnsiTheme="minorHAnsi" w:cstheme="minorHAnsi"/>
          <w:szCs w:val="24"/>
          <w:lang w:val="en-US"/>
        </w:rPr>
        <w:t>Introduction of aerial bunched conductors.</w:t>
      </w:r>
    </w:p>
    <w:p w:rsidR="000103C7" w:rsidRPr="00A4527C" w:rsidRDefault="000103C7" w:rsidP="000103C7">
      <w:pPr>
        <w:pStyle w:val="EDNormal"/>
        <w:numPr>
          <w:ilvl w:val="0"/>
          <w:numId w:val="8"/>
        </w:numPr>
        <w:rPr>
          <w:rFonts w:asciiTheme="minorHAnsi" w:hAnsiTheme="minorHAnsi" w:cstheme="minorHAnsi"/>
          <w:szCs w:val="24"/>
          <w:lang w:val="en-US"/>
        </w:rPr>
      </w:pPr>
      <w:r w:rsidRPr="00A4527C">
        <w:rPr>
          <w:rFonts w:asciiTheme="minorHAnsi" w:hAnsiTheme="minorHAnsi" w:cstheme="minorHAnsi"/>
          <w:szCs w:val="24"/>
          <w:lang w:val="en-US"/>
        </w:rPr>
        <w:t>Erection of section isolators.</w:t>
      </w:r>
    </w:p>
    <w:p w:rsidR="000103C7" w:rsidRPr="00A4527C" w:rsidRDefault="000103C7" w:rsidP="000103C7">
      <w:pPr>
        <w:pStyle w:val="EDNormal"/>
        <w:numPr>
          <w:ilvl w:val="0"/>
          <w:numId w:val="8"/>
        </w:numPr>
        <w:rPr>
          <w:rFonts w:asciiTheme="minorHAnsi" w:hAnsiTheme="minorHAnsi" w:cstheme="minorHAnsi"/>
          <w:szCs w:val="24"/>
          <w:lang w:val="en-US"/>
        </w:rPr>
      </w:pPr>
      <w:r w:rsidRPr="00A4527C">
        <w:rPr>
          <w:rFonts w:asciiTheme="minorHAnsi" w:hAnsiTheme="minorHAnsi" w:cstheme="minorHAnsi"/>
          <w:szCs w:val="24"/>
          <w:lang w:val="en-US"/>
        </w:rPr>
        <w:t>Installation of automatic power factor capacitors.</w:t>
      </w:r>
    </w:p>
    <w:p w:rsidR="000103C7" w:rsidRPr="00A4527C" w:rsidRDefault="000103C7" w:rsidP="000103C7">
      <w:pPr>
        <w:pStyle w:val="EDNormal"/>
        <w:numPr>
          <w:ilvl w:val="0"/>
          <w:numId w:val="8"/>
        </w:numPr>
        <w:rPr>
          <w:rFonts w:asciiTheme="minorHAnsi" w:hAnsiTheme="minorHAnsi" w:cstheme="minorHAnsi"/>
          <w:szCs w:val="24"/>
          <w:lang w:val="en-US"/>
        </w:rPr>
      </w:pPr>
      <w:r w:rsidRPr="00A4527C">
        <w:rPr>
          <w:rFonts w:asciiTheme="minorHAnsi" w:hAnsiTheme="minorHAnsi" w:cstheme="minorHAnsi"/>
          <w:szCs w:val="24"/>
          <w:lang w:val="en-US"/>
        </w:rPr>
        <w:t>Installation of smart meters.</w:t>
      </w:r>
    </w:p>
    <w:p w:rsidR="000103C7" w:rsidRPr="00A4527C" w:rsidRDefault="000103C7" w:rsidP="000103C7">
      <w:pPr>
        <w:pStyle w:val="EDNormal"/>
        <w:ind w:left="720"/>
        <w:rPr>
          <w:rFonts w:asciiTheme="minorHAnsi" w:hAnsiTheme="minorHAnsi" w:cstheme="minorHAnsi"/>
          <w:szCs w:val="24"/>
        </w:rPr>
      </w:pPr>
    </w:p>
    <w:p w:rsidR="000103C7" w:rsidRDefault="000103C7" w:rsidP="000103C7">
      <w:pPr>
        <w:pStyle w:val="ED-H3"/>
        <w:rPr>
          <w:b/>
        </w:rPr>
      </w:pPr>
      <w:r>
        <w:rPr>
          <w:b/>
        </w:rPr>
        <w:t>Upgradation of the Billing Software:</w:t>
      </w:r>
    </w:p>
    <w:p w:rsidR="000103C7" w:rsidRPr="008633E8" w:rsidRDefault="000103C7" w:rsidP="00BB7F1F">
      <w:pPr>
        <w:autoSpaceDE w:val="0"/>
        <w:autoSpaceDN w:val="0"/>
        <w:adjustRightInd w:val="0"/>
        <w:spacing w:line="240" w:lineRule="auto"/>
        <w:ind w:left="720"/>
        <w:rPr>
          <w:rFonts w:asciiTheme="minorHAnsi" w:hAnsiTheme="minorHAnsi" w:cs="Arial"/>
          <w:color w:val="0D0D0D"/>
          <w:lang w:val="en-IN" w:bidi="ta-IN"/>
        </w:rPr>
      </w:pPr>
      <w:r w:rsidRPr="008633E8">
        <w:rPr>
          <w:rFonts w:asciiTheme="minorHAnsi" w:hAnsiTheme="minorHAnsi" w:cs="Arial"/>
          <w:color w:val="000000"/>
          <w:lang w:val="en-IN" w:bidi="ta-IN"/>
        </w:rPr>
        <w:t xml:space="preserve">PED has requested the National Informatics Centre to develop </w:t>
      </w:r>
      <w:r w:rsidRPr="008633E8">
        <w:rPr>
          <w:rFonts w:asciiTheme="minorHAnsi" w:hAnsiTheme="minorHAnsi" w:cs="Arial"/>
          <w:b/>
          <w:bCs/>
          <w:color w:val="000000"/>
          <w:lang w:val="en-IN" w:bidi="ta-IN"/>
        </w:rPr>
        <w:t xml:space="preserve">Meter Reading Billing and Collection web based Software </w:t>
      </w:r>
      <w:r w:rsidRPr="008633E8">
        <w:rPr>
          <w:rFonts w:asciiTheme="minorHAnsi" w:hAnsiTheme="minorHAnsi" w:cs="Arial"/>
          <w:color w:val="000000"/>
          <w:lang w:val="en-IN" w:bidi="ta-IN"/>
        </w:rPr>
        <w:t xml:space="preserve">in order to overcome the difficulties experienced in in-house developed, three decade old billing software. The proposed software will be developed with </w:t>
      </w:r>
      <w:r w:rsidRPr="008633E8">
        <w:rPr>
          <w:rFonts w:asciiTheme="minorHAnsi" w:hAnsiTheme="minorHAnsi" w:cs="Arial,BoldItalic"/>
          <w:b/>
          <w:bCs/>
          <w:i/>
          <w:iCs/>
          <w:color w:val="000000"/>
          <w:lang w:val="en-IN" w:bidi="ta-IN"/>
        </w:rPr>
        <w:t xml:space="preserve">department’s workflow based </w:t>
      </w:r>
      <w:r w:rsidRPr="008633E8">
        <w:rPr>
          <w:rFonts w:asciiTheme="minorHAnsi" w:hAnsiTheme="minorHAnsi" w:cs="Arial"/>
          <w:color w:val="000000"/>
          <w:lang w:val="en-IN" w:bidi="ta-IN"/>
        </w:rPr>
        <w:t xml:space="preserve">usinglatest </w:t>
      </w:r>
      <w:r w:rsidRPr="008633E8">
        <w:rPr>
          <w:rFonts w:asciiTheme="minorHAnsi" w:hAnsiTheme="minorHAnsi" w:cs="Arial"/>
          <w:color w:val="000000"/>
          <w:lang w:val="en-IN" w:bidi="ta-IN"/>
        </w:rPr>
        <w:lastRenderedPageBreak/>
        <w:t xml:space="preserve">technology and it has provision </w:t>
      </w:r>
      <w:r w:rsidRPr="008633E8">
        <w:rPr>
          <w:rFonts w:asciiTheme="minorHAnsi" w:hAnsiTheme="minorHAnsi" w:cs="Arial"/>
          <w:color w:val="0D0D0D"/>
          <w:lang w:val="en-IN" w:bidi="ta-IN"/>
        </w:rPr>
        <w:t>NIC Puducherry will initially give training todepartment users after that department has to manage this software of their own.</w:t>
      </w:r>
    </w:p>
    <w:p w:rsidR="000103C7" w:rsidRDefault="000103C7" w:rsidP="00BB7F1F">
      <w:pPr>
        <w:autoSpaceDE w:val="0"/>
        <w:autoSpaceDN w:val="0"/>
        <w:adjustRightInd w:val="0"/>
        <w:spacing w:line="240" w:lineRule="auto"/>
        <w:ind w:left="720"/>
        <w:rPr>
          <w:rFonts w:asciiTheme="minorHAnsi" w:hAnsiTheme="minorHAnsi" w:cs="Arial"/>
          <w:color w:val="000000"/>
          <w:lang w:val="en-IN" w:bidi="ta-IN"/>
        </w:rPr>
      </w:pPr>
      <w:r w:rsidRPr="008633E8">
        <w:rPr>
          <w:rFonts w:asciiTheme="minorHAnsi" w:hAnsiTheme="minorHAnsi" w:cs="Arial"/>
          <w:color w:val="0D0D0D"/>
          <w:lang w:val="en-IN" w:bidi="ta-IN"/>
        </w:rPr>
        <w:t>The performance of the software mainly depends on network bandwidth of servers, user computer at collection centres.  NIC has proposed to execute the software development work in</w:t>
      </w:r>
      <w:r w:rsidRPr="008633E8">
        <w:rPr>
          <w:rFonts w:asciiTheme="minorHAnsi" w:hAnsiTheme="minorHAnsi" w:cs="Arial"/>
          <w:color w:val="000000"/>
          <w:lang w:val="en-IN" w:bidi="ta-IN"/>
        </w:rPr>
        <w:t xml:space="preserve"> 5 phases. They are (i) Collection Dissemination - Compilation of collection data through Centralized System from all regions/divisions/collection centres. (ii)  Counter Collections - Receipts.(iii)  LT - Meter Reading, Billing and Payment Gateway. (iv) HT - Meter Reading, Billing and Payment Gateway. (v) Other Administration of Services</w:t>
      </w:r>
      <w:r>
        <w:rPr>
          <w:rFonts w:asciiTheme="minorHAnsi" w:hAnsiTheme="minorHAnsi" w:cs="Arial"/>
          <w:color w:val="000000"/>
          <w:lang w:val="en-IN" w:bidi="ta-IN"/>
        </w:rPr>
        <w:t>.</w:t>
      </w:r>
    </w:p>
    <w:p w:rsidR="000103C7" w:rsidRDefault="000103C7" w:rsidP="00BB7F1F">
      <w:pPr>
        <w:autoSpaceDE w:val="0"/>
        <w:autoSpaceDN w:val="0"/>
        <w:adjustRightInd w:val="0"/>
        <w:spacing w:line="240" w:lineRule="auto"/>
        <w:ind w:left="720"/>
        <w:rPr>
          <w:rFonts w:asciiTheme="minorHAnsi" w:hAnsiTheme="minorHAnsi"/>
          <w:lang w:val="en-IN" w:bidi="hi-IN"/>
        </w:rPr>
      </w:pPr>
    </w:p>
    <w:p w:rsidR="000103C7" w:rsidRDefault="000103C7" w:rsidP="00BB7F1F">
      <w:pPr>
        <w:autoSpaceDE w:val="0"/>
        <w:autoSpaceDN w:val="0"/>
        <w:adjustRightInd w:val="0"/>
        <w:spacing w:line="240" w:lineRule="auto"/>
        <w:ind w:left="720"/>
        <w:rPr>
          <w:rFonts w:asciiTheme="minorHAnsi" w:hAnsiTheme="minorHAnsi"/>
          <w:lang w:val="en-IN" w:bidi="hi-IN"/>
        </w:rPr>
      </w:pPr>
      <w:r>
        <w:rPr>
          <w:rFonts w:asciiTheme="minorHAnsi" w:hAnsiTheme="minorHAnsi"/>
          <w:lang w:val="en-IN" w:bidi="hi-IN"/>
        </w:rPr>
        <w:t>It is expected that the work will be taken up shortly and implemented within a period of one year.</w:t>
      </w:r>
    </w:p>
    <w:p w:rsidR="000103C7" w:rsidRPr="008633E8" w:rsidRDefault="000103C7" w:rsidP="000103C7">
      <w:pPr>
        <w:autoSpaceDE w:val="0"/>
        <w:autoSpaceDN w:val="0"/>
        <w:adjustRightInd w:val="0"/>
        <w:spacing w:line="240" w:lineRule="auto"/>
        <w:rPr>
          <w:rFonts w:asciiTheme="minorHAnsi" w:hAnsiTheme="minorHAnsi"/>
          <w:lang w:val="en-IN" w:bidi="hi-IN"/>
        </w:rPr>
      </w:pPr>
    </w:p>
    <w:p w:rsidR="000103C7" w:rsidRDefault="000103C7" w:rsidP="000103C7">
      <w:pPr>
        <w:pStyle w:val="ED-H3"/>
        <w:rPr>
          <w:b/>
        </w:rPr>
      </w:pPr>
      <w:r w:rsidRPr="00105F99">
        <w:rPr>
          <w:rFonts w:cstheme="minorHAnsi"/>
          <w:b/>
          <w:szCs w:val="24"/>
        </w:rPr>
        <w:t xml:space="preserve">Anti- Power </w:t>
      </w:r>
      <w:r>
        <w:rPr>
          <w:rFonts w:cstheme="minorHAnsi"/>
          <w:b/>
          <w:szCs w:val="24"/>
        </w:rPr>
        <w:t xml:space="preserve">Theft </w:t>
      </w:r>
      <w:r w:rsidRPr="00105F99">
        <w:rPr>
          <w:rFonts w:cstheme="minorHAnsi"/>
          <w:b/>
          <w:szCs w:val="24"/>
        </w:rPr>
        <w:t xml:space="preserve">Squad (ATPS)  </w:t>
      </w:r>
    </w:p>
    <w:p w:rsidR="000103C7" w:rsidRPr="00A4527C" w:rsidRDefault="000103C7" w:rsidP="000103C7">
      <w:pPr>
        <w:pStyle w:val="EDNormal"/>
        <w:ind w:left="720"/>
        <w:rPr>
          <w:rFonts w:asciiTheme="minorHAnsi" w:hAnsiTheme="minorHAnsi" w:cstheme="minorHAnsi"/>
          <w:szCs w:val="24"/>
        </w:rPr>
      </w:pPr>
      <w:r w:rsidRPr="00A4527C">
        <w:rPr>
          <w:rFonts w:asciiTheme="minorHAnsi" w:hAnsiTheme="minorHAnsi" w:cstheme="minorHAnsi"/>
          <w:szCs w:val="24"/>
        </w:rPr>
        <w:t>In a move to strengthen the action on pilferage of energy and to comply with the Regulations and reduce T&amp;D losses by revoking illegal connections, checking meter tampering and correctness of the energy meters, PED has formed two separate teams of engineers to inspect the consumer premises.</w:t>
      </w:r>
    </w:p>
    <w:p w:rsidR="000103C7" w:rsidRPr="00104125" w:rsidRDefault="000103C7" w:rsidP="000103C7">
      <w:pPr>
        <w:pStyle w:val="EDNormal"/>
        <w:ind w:left="720"/>
        <w:rPr>
          <w:rFonts w:asciiTheme="minorHAnsi" w:hAnsiTheme="minorHAnsi" w:cstheme="minorHAnsi"/>
          <w:szCs w:val="24"/>
        </w:rPr>
      </w:pPr>
    </w:p>
    <w:p w:rsidR="000103C7" w:rsidRDefault="000103C7" w:rsidP="000103C7">
      <w:pPr>
        <w:pStyle w:val="ED-H3"/>
        <w:rPr>
          <w:b/>
        </w:rPr>
      </w:pPr>
      <w:r w:rsidRPr="00105F99">
        <w:rPr>
          <w:rFonts w:cstheme="minorHAnsi"/>
          <w:b/>
          <w:szCs w:val="24"/>
        </w:rPr>
        <w:t>Promotion of Renewable Power</w:t>
      </w:r>
    </w:p>
    <w:p w:rsidR="000103C7" w:rsidRDefault="000103C7" w:rsidP="000103C7">
      <w:pPr>
        <w:pStyle w:val="EDNormal"/>
        <w:ind w:left="720"/>
        <w:rPr>
          <w:rFonts w:asciiTheme="minorHAnsi" w:hAnsiTheme="minorHAnsi" w:cstheme="minorHAnsi"/>
          <w:szCs w:val="24"/>
        </w:rPr>
      </w:pPr>
      <w:r>
        <w:rPr>
          <w:rFonts w:asciiTheme="minorHAnsi" w:hAnsiTheme="minorHAnsi" w:cstheme="minorHAnsi"/>
          <w:szCs w:val="24"/>
        </w:rPr>
        <w:t>PED has already make request to NTPC to allocate 100 MW solar power fro</w:t>
      </w:r>
      <w:r w:rsidR="009C2059">
        <w:rPr>
          <w:rFonts w:asciiTheme="minorHAnsi" w:hAnsiTheme="minorHAnsi" w:cstheme="minorHAnsi"/>
          <w:szCs w:val="24"/>
        </w:rPr>
        <w:t>m their proposed project at Raja</w:t>
      </w:r>
      <w:r>
        <w:rPr>
          <w:rFonts w:asciiTheme="minorHAnsi" w:hAnsiTheme="minorHAnsi" w:cstheme="minorHAnsi"/>
          <w:szCs w:val="24"/>
        </w:rPr>
        <w:t>st</w:t>
      </w:r>
      <w:r w:rsidR="009C2059">
        <w:rPr>
          <w:rFonts w:asciiTheme="minorHAnsi" w:hAnsiTheme="minorHAnsi" w:cstheme="minorHAnsi"/>
          <w:szCs w:val="24"/>
        </w:rPr>
        <w:t>h</w:t>
      </w:r>
      <w:r>
        <w:rPr>
          <w:rFonts w:asciiTheme="minorHAnsi" w:hAnsiTheme="minorHAnsi" w:cstheme="minorHAnsi"/>
          <w:szCs w:val="24"/>
        </w:rPr>
        <w:t>an. While confirming the availability of the same, M/s NTPC is also drafting Power Purchase Agreement to be entered in this regard. The P</w:t>
      </w:r>
      <w:r w:rsidR="00146432">
        <w:rPr>
          <w:rFonts w:asciiTheme="minorHAnsi" w:hAnsiTheme="minorHAnsi" w:cstheme="minorHAnsi"/>
          <w:szCs w:val="24"/>
        </w:rPr>
        <w:t>lant is expected in the year 202</w:t>
      </w:r>
      <w:r>
        <w:rPr>
          <w:rFonts w:asciiTheme="minorHAnsi" w:hAnsiTheme="minorHAnsi" w:cstheme="minorHAnsi"/>
          <w:szCs w:val="24"/>
        </w:rPr>
        <w:t xml:space="preserve">0-21. In order to meet additional requirement, the department has requested SECI to allocate 100 MW of Non-solar and 50 MW of Solar power from their proposed up-coming projects. In addition to the above, the department has also proposed to establish a total capacity of 31.5 MW under JICA, and also 240 KW under IPDS. In the meanwhile, number of Roof Top PV Solar Plants are being commissioned under private sector and the installed capacity of the same would reach 5 MW by the end of this year. </w:t>
      </w:r>
    </w:p>
    <w:p w:rsidR="000103C7" w:rsidRPr="00104125" w:rsidRDefault="000103C7" w:rsidP="000103C7">
      <w:pPr>
        <w:pStyle w:val="EDNormal"/>
        <w:ind w:left="720"/>
        <w:rPr>
          <w:rFonts w:asciiTheme="minorHAnsi" w:hAnsiTheme="minorHAnsi" w:cstheme="minorHAnsi"/>
          <w:szCs w:val="24"/>
        </w:rPr>
      </w:pPr>
    </w:p>
    <w:p w:rsidR="000103C7" w:rsidRDefault="000103C7" w:rsidP="000103C7">
      <w:pPr>
        <w:pStyle w:val="ED-H2"/>
        <w:rPr>
          <w:rFonts w:asciiTheme="minorHAnsi" w:hAnsiTheme="minorHAnsi" w:cstheme="minorHAnsi"/>
          <w:b w:val="0"/>
          <w:szCs w:val="24"/>
          <w:lang w:val="en-GB"/>
        </w:rPr>
      </w:pPr>
      <w:bookmarkStart w:id="68" w:name="_Toc523560499"/>
      <w:bookmarkStart w:id="69" w:name="_Toc523724477"/>
      <w:r w:rsidRPr="00105F99">
        <w:rPr>
          <w:rFonts w:asciiTheme="minorHAnsi" w:hAnsiTheme="minorHAnsi" w:cstheme="minorHAnsi"/>
          <w:szCs w:val="24"/>
          <w:lang w:val="en-GB"/>
        </w:rPr>
        <w:t>Way Forward for PED</w:t>
      </w:r>
      <w:bookmarkEnd w:id="68"/>
      <w:bookmarkEnd w:id="69"/>
    </w:p>
    <w:p w:rsidR="000103C7" w:rsidRDefault="000103C7" w:rsidP="000103C7">
      <w:pPr>
        <w:pStyle w:val="ED-H3"/>
        <w:rPr>
          <w:rFonts w:cstheme="minorHAnsi"/>
          <w:szCs w:val="24"/>
        </w:rPr>
      </w:pPr>
      <w:r w:rsidRPr="00A4527C">
        <w:rPr>
          <w:rFonts w:cstheme="minorHAnsi"/>
          <w:szCs w:val="24"/>
        </w:rPr>
        <w:t>PED has been successfully supplying power to its consumers throughout the years, but there is much more that needs and can be done to provide power security to the people of UT of Puducherry. To achieve this, PED has to prioritise the following activities:</w:t>
      </w:r>
    </w:p>
    <w:p w:rsidR="000103C7" w:rsidRPr="00A4527C" w:rsidRDefault="000103C7" w:rsidP="000103C7">
      <w:pPr>
        <w:pStyle w:val="EDNormal"/>
        <w:numPr>
          <w:ilvl w:val="0"/>
          <w:numId w:val="8"/>
        </w:numPr>
        <w:rPr>
          <w:rFonts w:asciiTheme="minorHAnsi" w:hAnsiTheme="minorHAnsi" w:cstheme="minorHAnsi"/>
          <w:szCs w:val="24"/>
        </w:rPr>
      </w:pPr>
      <w:r w:rsidRPr="00A4527C">
        <w:rPr>
          <w:rFonts w:asciiTheme="minorHAnsi" w:hAnsiTheme="minorHAnsi" w:cstheme="minorHAnsi"/>
          <w:szCs w:val="24"/>
        </w:rPr>
        <w:t>Curb down the distribution losses to optimum level between 10%-11%.</w:t>
      </w:r>
    </w:p>
    <w:p w:rsidR="000103C7" w:rsidRPr="00A4527C" w:rsidRDefault="000103C7" w:rsidP="000103C7">
      <w:pPr>
        <w:pStyle w:val="EDNormal"/>
        <w:numPr>
          <w:ilvl w:val="0"/>
          <w:numId w:val="8"/>
        </w:numPr>
        <w:rPr>
          <w:rFonts w:asciiTheme="minorHAnsi" w:hAnsiTheme="minorHAnsi" w:cstheme="minorHAnsi"/>
          <w:szCs w:val="24"/>
        </w:rPr>
      </w:pPr>
      <w:r w:rsidRPr="00A4527C">
        <w:rPr>
          <w:rFonts w:asciiTheme="minorHAnsi" w:hAnsiTheme="minorHAnsi" w:cstheme="minorHAnsi"/>
          <w:szCs w:val="24"/>
        </w:rPr>
        <w:t>Achieve collection efficiency of 100%.</w:t>
      </w:r>
    </w:p>
    <w:p w:rsidR="000103C7" w:rsidRPr="00A4527C" w:rsidRDefault="000103C7" w:rsidP="000103C7">
      <w:pPr>
        <w:pStyle w:val="EDNormal"/>
        <w:numPr>
          <w:ilvl w:val="0"/>
          <w:numId w:val="8"/>
        </w:numPr>
        <w:rPr>
          <w:rFonts w:asciiTheme="minorHAnsi" w:hAnsiTheme="minorHAnsi" w:cstheme="minorHAnsi"/>
          <w:szCs w:val="24"/>
        </w:rPr>
      </w:pPr>
      <w:r w:rsidRPr="00A4527C">
        <w:rPr>
          <w:rFonts w:asciiTheme="minorHAnsi" w:hAnsiTheme="minorHAnsi" w:cstheme="minorHAnsi"/>
          <w:szCs w:val="24"/>
        </w:rPr>
        <w:t>100% billing on the basis of actual meter reading and elimination of average billing.</w:t>
      </w:r>
    </w:p>
    <w:p w:rsidR="000103C7" w:rsidRPr="00A4527C" w:rsidRDefault="000103C7" w:rsidP="000103C7">
      <w:pPr>
        <w:pStyle w:val="EDNormal"/>
        <w:numPr>
          <w:ilvl w:val="0"/>
          <w:numId w:val="8"/>
        </w:numPr>
        <w:rPr>
          <w:rFonts w:asciiTheme="minorHAnsi" w:hAnsiTheme="minorHAnsi" w:cstheme="minorHAnsi"/>
          <w:szCs w:val="24"/>
        </w:rPr>
      </w:pPr>
      <w:r w:rsidRPr="00A4527C">
        <w:rPr>
          <w:rFonts w:asciiTheme="minorHAnsi" w:hAnsiTheme="minorHAnsi" w:cstheme="minorHAnsi"/>
          <w:szCs w:val="24"/>
        </w:rPr>
        <w:t>Incorporate centralized MIS system and improve information flow from sub-</w:t>
      </w:r>
      <w:r w:rsidRPr="00A4527C">
        <w:rPr>
          <w:rFonts w:asciiTheme="minorHAnsi" w:hAnsiTheme="minorHAnsi" w:cstheme="minorHAnsi"/>
          <w:szCs w:val="24"/>
        </w:rPr>
        <w:lastRenderedPageBreak/>
        <w:t>divisions to head office.</w:t>
      </w:r>
    </w:p>
    <w:p w:rsidR="000103C7" w:rsidRPr="00A4527C" w:rsidRDefault="000103C7" w:rsidP="000103C7">
      <w:pPr>
        <w:pStyle w:val="EDNormal"/>
        <w:numPr>
          <w:ilvl w:val="0"/>
          <w:numId w:val="8"/>
        </w:numPr>
        <w:rPr>
          <w:rFonts w:asciiTheme="minorHAnsi" w:hAnsiTheme="minorHAnsi" w:cstheme="minorHAnsi"/>
          <w:szCs w:val="24"/>
        </w:rPr>
      </w:pPr>
      <w:r w:rsidRPr="00A4527C">
        <w:rPr>
          <w:rFonts w:asciiTheme="minorHAnsi" w:hAnsiTheme="minorHAnsi" w:cstheme="minorHAnsi"/>
          <w:szCs w:val="24"/>
        </w:rPr>
        <w:t xml:space="preserve">Use of technological advance and computerization for improving the efficiency, accountability, information levels &amp; consumer satisfaction. </w:t>
      </w:r>
    </w:p>
    <w:p w:rsidR="00C3408E" w:rsidRPr="00146432" w:rsidRDefault="000103C7" w:rsidP="00146432">
      <w:pPr>
        <w:pStyle w:val="EDNormal"/>
        <w:numPr>
          <w:ilvl w:val="0"/>
          <w:numId w:val="8"/>
        </w:numPr>
        <w:rPr>
          <w:rFonts w:asciiTheme="minorHAnsi" w:hAnsiTheme="minorHAnsi" w:cstheme="minorHAnsi"/>
          <w:szCs w:val="24"/>
        </w:rPr>
      </w:pPr>
      <w:r w:rsidRPr="00A4527C">
        <w:rPr>
          <w:rFonts w:asciiTheme="minorHAnsi" w:hAnsiTheme="minorHAnsi" w:cstheme="minorHAnsi"/>
          <w:szCs w:val="24"/>
        </w:rPr>
        <w:t>Introduce AMI for all revenue intensive consumers.</w:t>
      </w:r>
      <w:r w:rsidR="00146432">
        <w:rPr>
          <w:rFonts w:asciiTheme="minorHAnsi" w:hAnsiTheme="minorHAnsi" w:cstheme="minorHAnsi"/>
          <w:szCs w:val="24"/>
        </w:rPr>
        <w:br w:type="page"/>
      </w:r>
    </w:p>
    <w:p w:rsidR="009846CC" w:rsidRDefault="009846CC" w:rsidP="009846CC">
      <w:pPr>
        <w:pStyle w:val="ED-H1"/>
        <w:rPr>
          <w:b w:val="0"/>
          <w:lang w:val="en-GB"/>
        </w:rPr>
      </w:pPr>
      <w:bookmarkStart w:id="70" w:name="_Toc523560500"/>
      <w:bookmarkStart w:id="71" w:name="_Toc523724478"/>
      <w:r w:rsidRPr="00105F99">
        <w:lastRenderedPageBreak/>
        <w:t>SWOT</w:t>
      </w:r>
      <w:r w:rsidRPr="00443D2A">
        <w:rPr>
          <w:lang w:val="en-GB"/>
        </w:rPr>
        <w:t xml:space="preserve"> Analysis</w:t>
      </w:r>
      <w:bookmarkEnd w:id="70"/>
      <w:bookmarkEnd w:id="71"/>
    </w:p>
    <w:p w:rsidR="009846CC" w:rsidRDefault="009846CC" w:rsidP="009846CC">
      <w:pPr>
        <w:pStyle w:val="ED-H2"/>
      </w:pPr>
      <w:bookmarkStart w:id="72" w:name="_Toc523560501"/>
      <w:bookmarkStart w:id="73" w:name="_Toc523724479"/>
      <w:r>
        <w:t>SWOT Analysis</w:t>
      </w:r>
      <w:bookmarkEnd w:id="72"/>
      <w:bookmarkEnd w:id="73"/>
    </w:p>
    <w:p w:rsidR="009846CC" w:rsidRDefault="009846CC" w:rsidP="009846CC">
      <w:pPr>
        <w:pStyle w:val="ED-H3"/>
      </w:pPr>
      <w:r w:rsidRPr="00BB2816">
        <w:t>SWOT analysis (or SWOT matrix) is a strategic planning technique used to help a person or organization identify the Strengths, Weaknesses, Opportunities, and Threats related to business competition or project planning.</w:t>
      </w:r>
    </w:p>
    <w:p w:rsidR="00F14FCB" w:rsidRPr="00F14FCB" w:rsidRDefault="00F14FCB" w:rsidP="00F14FCB">
      <w:pPr>
        <w:pStyle w:val="EDNormal"/>
        <w:rPr>
          <w:lang w:val="en-IN" w:bidi="hi-IN"/>
        </w:rPr>
      </w:pPr>
    </w:p>
    <w:p w:rsidR="009846CC" w:rsidRDefault="009846CC" w:rsidP="009846CC">
      <w:pPr>
        <w:pStyle w:val="ED-H3"/>
      </w:pPr>
      <w:r w:rsidRPr="005574B0">
        <w:t xml:space="preserve">The analysis of the strength, weakness, opportunities and threats as perceived by </w:t>
      </w:r>
      <w:r>
        <w:t>PED</w:t>
      </w:r>
      <w:r w:rsidRPr="005574B0">
        <w:t xml:space="preserve"> is summarized in the following figure:</w:t>
      </w:r>
    </w:p>
    <w:p w:rsidR="009846CC" w:rsidRDefault="009846CC" w:rsidP="00061AA6">
      <w:pPr>
        <w:pStyle w:val="Caption"/>
      </w:pPr>
    </w:p>
    <w:p w:rsidR="000E7480" w:rsidRDefault="009846CC" w:rsidP="00061AA6">
      <w:pPr>
        <w:pStyle w:val="Caption"/>
      </w:pPr>
      <w:bookmarkStart w:id="74" w:name="_Toc523725622"/>
      <w:r>
        <w:t xml:space="preserve">Figure </w:t>
      </w:r>
      <w:r w:rsidR="00140E1B">
        <w:fldChar w:fldCharType="begin"/>
      </w:r>
      <w:r>
        <w:instrText xml:space="preserve"> SEQ Figure \* ARABIC </w:instrText>
      </w:r>
      <w:r w:rsidR="00140E1B">
        <w:fldChar w:fldCharType="separate"/>
      </w:r>
      <w:r w:rsidR="004B7EE5">
        <w:rPr>
          <w:noProof/>
        </w:rPr>
        <w:t>7</w:t>
      </w:r>
      <w:r w:rsidR="00140E1B">
        <w:rPr>
          <w:noProof/>
        </w:rPr>
        <w:fldChar w:fldCharType="end"/>
      </w:r>
      <w:r>
        <w:t>: SWOT Analysis of PED</w:t>
      </w:r>
      <w:bookmarkEnd w:id="74"/>
    </w:p>
    <w:tbl>
      <w:tblPr>
        <w:tblW w:w="4802" w:type="pct"/>
        <w:tblInd w:w="740" w:type="dxa"/>
        <w:tblBorders>
          <w:top w:val="double" w:sz="4" w:space="0" w:color="auto"/>
          <w:left w:val="double" w:sz="4" w:space="0" w:color="auto"/>
          <w:bottom w:val="double" w:sz="4" w:space="0" w:color="auto"/>
          <w:right w:val="double" w:sz="4" w:space="0" w:color="auto"/>
        </w:tblBorders>
        <w:tblLook w:val="04A0"/>
      </w:tblPr>
      <w:tblGrid>
        <w:gridCol w:w="4477"/>
        <w:gridCol w:w="4402"/>
      </w:tblGrid>
      <w:tr w:rsidR="009846CC" w:rsidRPr="002F499F" w:rsidTr="009A6247">
        <w:trPr>
          <w:trHeight w:val="720"/>
        </w:trPr>
        <w:tc>
          <w:tcPr>
            <w:tcW w:w="2521" w:type="pct"/>
            <w:tcBorders>
              <w:right w:val="double" w:sz="4" w:space="0" w:color="auto"/>
            </w:tcBorders>
            <w:shd w:val="clear" w:color="auto" w:fill="F2DBDB" w:themeFill="accent2" w:themeFillTint="33"/>
            <w:hideMark/>
          </w:tcPr>
          <w:p w:rsidR="009846CC" w:rsidRPr="009A6247" w:rsidRDefault="009846CC" w:rsidP="00E16426">
            <w:pPr>
              <w:spacing w:line="240" w:lineRule="auto"/>
              <w:jc w:val="center"/>
              <w:rPr>
                <w:rFonts w:cs="Calibri"/>
                <w:b/>
                <w:bCs/>
                <w:color w:val="000000"/>
                <w:sz w:val="22"/>
                <w:szCs w:val="22"/>
                <w:lang w:val="en-US" w:bidi="ta-IN"/>
              </w:rPr>
            </w:pPr>
            <w:r w:rsidRPr="009A6247">
              <w:rPr>
                <w:rFonts w:cs="Calibri"/>
                <w:b/>
                <w:bCs/>
                <w:color w:val="000000"/>
                <w:sz w:val="22"/>
                <w:szCs w:val="22"/>
                <w:lang w:bidi="ta-IN"/>
              </w:rPr>
              <w:t>STRENGTHS</w:t>
            </w:r>
          </w:p>
        </w:tc>
        <w:tc>
          <w:tcPr>
            <w:tcW w:w="2479" w:type="pct"/>
            <w:tcBorders>
              <w:left w:val="double" w:sz="4" w:space="0" w:color="auto"/>
            </w:tcBorders>
            <w:shd w:val="clear" w:color="auto" w:fill="DBE5F1" w:themeFill="accent1" w:themeFillTint="33"/>
            <w:hideMark/>
          </w:tcPr>
          <w:p w:rsidR="009846CC" w:rsidRPr="009A6247" w:rsidRDefault="009846CC" w:rsidP="00E16426">
            <w:pPr>
              <w:spacing w:line="240" w:lineRule="auto"/>
              <w:jc w:val="center"/>
              <w:rPr>
                <w:rFonts w:cs="Calibri"/>
                <w:b/>
                <w:bCs/>
                <w:color w:val="000000"/>
                <w:sz w:val="22"/>
                <w:szCs w:val="22"/>
                <w:lang w:val="en-US" w:bidi="ta-IN"/>
              </w:rPr>
            </w:pPr>
            <w:r w:rsidRPr="009A6247">
              <w:rPr>
                <w:rFonts w:cs="Calibri"/>
                <w:b/>
                <w:bCs/>
                <w:color w:val="000000"/>
                <w:sz w:val="22"/>
                <w:szCs w:val="22"/>
                <w:lang w:bidi="ta-IN"/>
              </w:rPr>
              <w:t>WEAKNESS</w:t>
            </w:r>
          </w:p>
        </w:tc>
      </w:tr>
      <w:tr w:rsidR="009846CC" w:rsidRPr="002F499F" w:rsidTr="009A6247">
        <w:trPr>
          <w:trHeight w:val="685"/>
        </w:trPr>
        <w:tc>
          <w:tcPr>
            <w:tcW w:w="2521" w:type="pct"/>
            <w:tcBorders>
              <w:right w:val="double" w:sz="4" w:space="0" w:color="auto"/>
            </w:tcBorders>
            <w:shd w:val="clear" w:color="auto" w:fill="F2DBDB" w:themeFill="accent2" w:themeFillTint="33"/>
            <w:hideMark/>
          </w:tcPr>
          <w:p w:rsidR="009846CC" w:rsidRPr="009A6247" w:rsidRDefault="009846CC" w:rsidP="00E16426">
            <w:pPr>
              <w:spacing w:line="240" w:lineRule="auto"/>
              <w:rPr>
                <w:rFonts w:cs="Calibri"/>
                <w:color w:val="000000"/>
                <w:sz w:val="22"/>
                <w:szCs w:val="22"/>
                <w:lang w:val="en-US" w:bidi="ta-IN"/>
              </w:rPr>
            </w:pPr>
            <w:r w:rsidRPr="009A6247">
              <w:rPr>
                <w:rFonts w:cs="Calibri"/>
                <w:color w:val="000000"/>
                <w:sz w:val="22"/>
                <w:szCs w:val="22"/>
                <w:lang w:bidi="ta-IN"/>
              </w:rPr>
              <w:t>• Availability of adequate power</w:t>
            </w:r>
          </w:p>
        </w:tc>
        <w:tc>
          <w:tcPr>
            <w:tcW w:w="2479" w:type="pct"/>
            <w:tcBorders>
              <w:left w:val="double" w:sz="4" w:space="0" w:color="auto"/>
            </w:tcBorders>
            <w:shd w:val="clear" w:color="auto" w:fill="DBE5F1" w:themeFill="accent1" w:themeFillTint="33"/>
            <w:hideMark/>
          </w:tcPr>
          <w:p w:rsidR="009846CC" w:rsidRPr="009A6247" w:rsidRDefault="009846CC" w:rsidP="00E16426">
            <w:pPr>
              <w:spacing w:line="240" w:lineRule="auto"/>
              <w:rPr>
                <w:rFonts w:cs="Calibri"/>
                <w:color w:val="000000"/>
                <w:sz w:val="22"/>
                <w:szCs w:val="22"/>
                <w:lang w:val="en-US" w:bidi="ta-IN"/>
              </w:rPr>
            </w:pPr>
            <w:r w:rsidRPr="009A6247">
              <w:rPr>
                <w:rFonts w:cs="Calibri"/>
                <w:color w:val="000000"/>
                <w:sz w:val="22"/>
                <w:szCs w:val="22"/>
                <w:lang w:bidi="ta-IN"/>
              </w:rPr>
              <w:t xml:space="preserve">• Inadequate availability of funds </w:t>
            </w:r>
          </w:p>
        </w:tc>
      </w:tr>
      <w:tr w:rsidR="009846CC" w:rsidRPr="002F499F" w:rsidTr="009A6247">
        <w:trPr>
          <w:trHeight w:val="685"/>
        </w:trPr>
        <w:tc>
          <w:tcPr>
            <w:tcW w:w="2521" w:type="pct"/>
            <w:tcBorders>
              <w:right w:val="double" w:sz="4" w:space="0" w:color="auto"/>
            </w:tcBorders>
            <w:shd w:val="clear" w:color="auto" w:fill="F2DBDB" w:themeFill="accent2" w:themeFillTint="33"/>
            <w:hideMark/>
          </w:tcPr>
          <w:p w:rsidR="009846CC" w:rsidRDefault="009846CC" w:rsidP="00E16426">
            <w:pPr>
              <w:spacing w:line="240" w:lineRule="auto"/>
              <w:rPr>
                <w:rFonts w:cs="Calibri"/>
                <w:color w:val="000000"/>
                <w:sz w:val="22"/>
                <w:szCs w:val="22"/>
                <w:lang w:bidi="ta-IN"/>
              </w:rPr>
            </w:pPr>
            <w:r w:rsidRPr="009A6247">
              <w:rPr>
                <w:rFonts w:cs="Calibri"/>
                <w:color w:val="000000"/>
                <w:sz w:val="22"/>
                <w:szCs w:val="22"/>
                <w:lang w:bidi="ta-IN"/>
              </w:rPr>
              <w:t>• Implementation of latest technologies</w:t>
            </w:r>
          </w:p>
          <w:p w:rsidR="009846CC" w:rsidRDefault="009846CC" w:rsidP="00E16426">
            <w:pPr>
              <w:spacing w:line="240" w:lineRule="auto"/>
              <w:rPr>
                <w:rFonts w:cs="Calibri"/>
                <w:color w:val="000000"/>
                <w:sz w:val="22"/>
                <w:szCs w:val="22"/>
                <w:lang w:bidi="ta-IN"/>
              </w:rPr>
            </w:pPr>
          </w:p>
          <w:p w:rsidR="003F36A6" w:rsidRDefault="003F36A6" w:rsidP="00E16426">
            <w:pPr>
              <w:spacing w:line="240" w:lineRule="auto"/>
              <w:rPr>
                <w:rFonts w:cs="Calibri"/>
                <w:color w:val="000000"/>
                <w:sz w:val="22"/>
                <w:szCs w:val="22"/>
                <w:lang w:bidi="ta-IN"/>
              </w:rPr>
            </w:pPr>
            <w:r w:rsidRPr="009A6247">
              <w:rPr>
                <w:rFonts w:cs="Calibri"/>
                <w:color w:val="000000"/>
                <w:sz w:val="22"/>
                <w:szCs w:val="22"/>
                <w:lang w:bidi="ta-IN"/>
              </w:rPr>
              <w:t>•</w:t>
            </w:r>
            <w:r>
              <w:rPr>
                <w:rFonts w:cs="Calibri"/>
                <w:color w:val="000000"/>
                <w:sz w:val="22"/>
                <w:szCs w:val="22"/>
                <w:lang w:bidi="ta-IN"/>
              </w:rPr>
              <w:t xml:space="preserve"> Robust system/network</w:t>
            </w:r>
          </w:p>
          <w:p w:rsidR="003F36A6" w:rsidRPr="009A6247" w:rsidRDefault="003F36A6" w:rsidP="00E16426">
            <w:pPr>
              <w:spacing w:line="240" w:lineRule="auto"/>
              <w:rPr>
                <w:rFonts w:cs="Calibri"/>
                <w:color w:val="000000"/>
                <w:sz w:val="22"/>
                <w:szCs w:val="22"/>
                <w:lang w:bidi="ta-IN"/>
              </w:rPr>
            </w:pPr>
          </w:p>
          <w:p w:rsidR="009846CC" w:rsidRPr="009A6247" w:rsidRDefault="009846CC" w:rsidP="00E16426">
            <w:pPr>
              <w:spacing w:line="240" w:lineRule="auto"/>
              <w:rPr>
                <w:rFonts w:cs="Calibri"/>
                <w:color w:val="000000"/>
                <w:sz w:val="22"/>
                <w:szCs w:val="22"/>
                <w:lang w:bidi="ta-IN"/>
              </w:rPr>
            </w:pPr>
            <w:r w:rsidRPr="009A6247">
              <w:rPr>
                <w:rFonts w:cs="Calibri"/>
                <w:color w:val="000000"/>
                <w:sz w:val="22"/>
                <w:szCs w:val="22"/>
                <w:lang w:bidi="ta-IN"/>
              </w:rPr>
              <w:t xml:space="preserve">• Yearly and timely filing of Tariff petitions, </w:t>
            </w:r>
          </w:p>
          <w:p w:rsidR="009846CC" w:rsidRPr="009A6247" w:rsidRDefault="009846CC" w:rsidP="00E16426">
            <w:pPr>
              <w:spacing w:line="240" w:lineRule="auto"/>
              <w:rPr>
                <w:rFonts w:cs="Calibri"/>
                <w:color w:val="000000"/>
                <w:sz w:val="22"/>
                <w:szCs w:val="22"/>
                <w:lang w:bidi="ta-IN"/>
              </w:rPr>
            </w:pPr>
            <w:r w:rsidRPr="009A6247">
              <w:rPr>
                <w:rFonts w:cs="Calibri"/>
                <w:color w:val="000000"/>
                <w:sz w:val="22"/>
                <w:szCs w:val="22"/>
                <w:lang w:bidi="ta-IN"/>
              </w:rPr>
              <w:t xml:space="preserve">   Competitive Tariff and Simple &amp; Robust Tariff  </w:t>
            </w:r>
          </w:p>
          <w:p w:rsidR="009846CC" w:rsidRPr="009A6247" w:rsidRDefault="009846CC" w:rsidP="00E16426">
            <w:pPr>
              <w:spacing w:line="240" w:lineRule="auto"/>
              <w:rPr>
                <w:rFonts w:cs="Calibri"/>
                <w:color w:val="000000"/>
                <w:sz w:val="22"/>
                <w:szCs w:val="22"/>
                <w:lang w:bidi="ta-IN"/>
              </w:rPr>
            </w:pPr>
            <w:r w:rsidRPr="009A6247">
              <w:rPr>
                <w:rFonts w:cs="Calibri"/>
                <w:color w:val="000000"/>
                <w:sz w:val="22"/>
                <w:szCs w:val="22"/>
                <w:lang w:bidi="ta-IN"/>
              </w:rPr>
              <w:t xml:space="preserve">   Structure</w:t>
            </w:r>
          </w:p>
        </w:tc>
        <w:tc>
          <w:tcPr>
            <w:tcW w:w="2479" w:type="pct"/>
            <w:tcBorders>
              <w:left w:val="double" w:sz="4" w:space="0" w:color="auto"/>
            </w:tcBorders>
            <w:shd w:val="clear" w:color="auto" w:fill="DBE5F1" w:themeFill="accent1" w:themeFillTint="33"/>
            <w:hideMark/>
          </w:tcPr>
          <w:p w:rsidR="009846CC" w:rsidRDefault="009846CC" w:rsidP="00E16426">
            <w:pPr>
              <w:spacing w:line="240" w:lineRule="auto"/>
              <w:rPr>
                <w:rFonts w:cs="Calibri"/>
                <w:color w:val="000000"/>
                <w:sz w:val="22"/>
                <w:szCs w:val="22"/>
                <w:lang w:bidi="ta-IN"/>
              </w:rPr>
            </w:pPr>
            <w:r w:rsidRPr="009A6247">
              <w:rPr>
                <w:rFonts w:cs="Calibri"/>
                <w:color w:val="000000"/>
                <w:sz w:val="22"/>
                <w:szCs w:val="22"/>
                <w:lang w:bidi="ta-IN"/>
              </w:rPr>
              <w:t xml:space="preserve">• </w:t>
            </w:r>
            <w:r w:rsidRPr="00841040">
              <w:rPr>
                <w:rFonts w:cs="Calibri"/>
                <w:color w:val="000000"/>
                <w:sz w:val="22"/>
                <w:szCs w:val="22"/>
                <w:lang w:bidi="ta-IN"/>
              </w:rPr>
              <w:t>Old billing system and billing issues.</w:t>
            </w:r>
          </w:p>
          <w:p w:rsidR="009846CC" w:rsidRPr="009A6247" w:rsidRDefault="009846CC" w:rsidP="00E16426">
            <w:pPr>
              <w:spacing w:line="240" w:lineRule="auto"/>
              <w:rPr>
                <w:rFonts w:cs="Calibri"/>
                <w:color w:val="000000"/>
                <w:sz w:val="22"/>
                <w:szCs w:val="22"/>
                <w:lang w:bidi="ta-IN"/>
              </w:rPr>
            </w:pPr>
          </w:p>
          <w:p w:rsidR="009846CC" w:rsidRPr="009A6247" w:rsidRDefault="009846CC" w:rsidP="00E16426">
            <w:pPr>
              <w:spacing w:line="240" w:lineRule="auto"/>
              <w:rPr>
                <w:rFonts w:cs="Calibri"/>
                <w:color w:val="000000"/>
                <w:sz w:val="22"/>
                <w:szCs w:val="22"/>
                <w:lang w:bidi="ta-IN"/>
              </w:rPr>
            </w:pPr>
            <w:r w:rsidRPr="009A6247">
              <w:rPr>
                <w:rFonts w:cs="Calibri"/>
                <w:color w:val="000000"/>
                <w:sz w:val="22"/>
                <w:szCs w:val="22"/>
                <w:lang w:bidi="ta-IN"/>
              </w:rPr>
              <w:t>• Filling up of vacant post</w:t>
            </w:r>
          </w:p>
        </w:tc>
      </w:tr>
      <w:tr w:rsidR="009846CC" w:rsidRPr="002F499F" w:rsidTr="009A6247">
        <w:trPr>
          <w:trHeight w:val="685"/>
        </w:trPr>
        <w:tc>
          <w:tcPr>
            <w:tcW w:w="2521" w:type="pct"/>
            <w:tcBorders>
              <w:top w:val="double" w:sz="4" w:space="0" w:color="auto"/>
              <w:right w:val="double" w:sz="4" w:space="0" w:color="auto"/>
            </w:tcBorders>
            <w:shd w:val="clear" w:color="auto" w:fill="D6E3BC" w:themeFill="accent3" w:themeFillTint="66"/>
            <w:hideMark/>
          </w:tcPr>
          <w:p w:rsidR="009846CC" w:rsidRPr="009A6247" w:rsidRDefault="009846CC" w:rsidP="00E16426">
            <w:pPr>
              <w:spacing w:line="240" w:lineRule="auto"/>
              <w:jc w:val="center"/>
              <w:rPr>
                <w:rFonts w:cs="Calibri"/>
                <w:b/>
                <w:bCs/>
                <w:color w:val="000000"/>
                <w:sz w:val="22"/>
                <w:szCs w:val="22"/>
                <w:lang w:val="en-US" w:bidi="ta-IN"/>
              </w:rPr>
            </w:pPr>
            <w:r w:rsidRPr="009A6247">
              <w:rPr>
                <w:rFonts w:cs="Calibri"/>
                <w:b/>
                <w:bCs/>
                <w:color w:val="000000"/>
                <w:sz w:val="22"/>
                <w:szCs w:val="22"/>
                <w:lang w:bidi="ta-IN"/>
              </w:rPr>
              <w:t>OPPORTUNITIES</w:t>
            </w:r>
          </w:p>
        </w:tc>
        <w:tc>
          <w:tcPr>
            <w:tcW w:w="2479" w:type="pct"/>
            <w:tcBorders>
              <w:top w:val="double" w:sz="4" w:space="0" w:color="auto"/>
              <w:left w:val="double" w:sz="4" w:space="0" w:color="auto"/>
            </w:tcBorders>
            <w:shd w:val="clear" w:color="auto" w:fill="FBD4B4" w:themeFill="accent6" w:themeFillTint="66"/>
            <w:hideMark/>
          </w:tcPr>
          <w:p w:rsidR="009846CC" w:rsidRPr="009A6247" w:rsidRDefault="009846CC" w:rsidP="00E16426">
            <w:pPr>
              <w:spacing w:line="240" w:lineRule="auto"/>
              <w:jc w:val="center"/>
              <w:rPr>
                <w:rFonts w:cs="Calibri"/>
                <w:b/>
                <w:bCs/>
                <w:color w:val="000000"/>
                <w:sz w:val="22"/>
                <w:szCs w:val="22"/>
                <w:lang w:val="en-US" w:bidi="ta-IN"/>
              </w:rPr>
            </w:pPr>
            <w:r w:rsidRPr="009A6247">
              <w:rPr>
                <w:rFonts w:cs="Calibri"/>
                <w:b/>
                <w:bCs/>
                <w:color w:val="000000"/>
                <w:sz w:val="22"/>
                <w:szCs w:val="22"/>
                <w:lang w:bidi="ta-IN"/>
              </w:rPr>
              <w:t>THREATS</w:t>
            </w:r>
          </w:p>
        </w:tc>
      </w:tr>
      <w:tr w:rsidR="009846CC" w:rsidRPr="002F499F" w:rsidTr="009A6247">
        <w:trPr>
          <w:trHeight w:val="678"/>
        </w:trPr>
        <w:tc>
          <w:tcPr>
            <w:tcW w:w="2521" w:type="pct"/>
            <w:tcBorders>
              <w:right w:val="double" w:sz="4" w:space="0" w:color="auto"/>
            </w:tcBorders>
            <w:shd w:val="clear" w:color="auto" w:fill="D6E3BC" w:themeFill="accent3" w:themeFillTint="66"/>
            <w:hideMark/>
          </w:tcPr>
          <w:p w:rsidR="009846CC" w:rsidRPr="009A6247" w:rsidRDefault="009846CC" w:rsidP="00E16426">
            <w:pPr>
              <w:spacing w:line="240" w:lineRule="auto"/>
              <w:rPr>
                <w:rFonts w:cs="Calibri"/>
                <w:color w:val="000000"/>
                <w:sz w:val="22"/>
                <w:szCs w:val="22"/>
                <w:lang w:bidi="ta-IN"/>
              </w:rPr>
            </w:pPr>
            <w:r w:rsidRPr="009A6247">
              <w:rPr>
                <w:rFonts w:cs="Calibri"/>
                <w:color w:val="000000"/>
                <w:sz w:val="22"/>
                <w:szCs w:val="22"/>
                <w:lang w:bidi="ta-IN"/>
              </w:rPr>
              <w:t xml:space="preserve">• Strengthening of Infrastructure by availing </w:t>
            </w:r>
          </w:p>
          <w:p w:rsidR="009846CC" w:rsidRPr="009A6247" w:rsidRDefault="009846CC" w:rsidP="00E16426">
            <w:pPr>
              <w:spacing w:line="240" w:lineRule="auto"/>
              <w:rPr>
                <w:rFonts w:cs="Calibri"/>
                <w:color w:val="000000"/>
                <w:sz w:val="22"/>
                <w:szCs w:val="22"/>
                <w:lang w:val="en-US" w:bidi="ta-IN"/>
              </w:rPr>
            </w:pPr>
            <w:r w:rsidRPr="009A6247">
              <w:rPr>
                <w:rFonts w:cs="Calibri"/>
                <w:color w:val="000000"/>
                <w:sz w:val="22"/>
                <w:szCs w:val="22"/>
                <w:lang w:bidi="ta-IN"/>
              </w:rPr>
              <w:t xml:space="preserve">   JICA Loan</w:t>
            </w:r>
          </w:p>
        </w:tc>
        <w:tc>
          <w:tcPr>
            <w:tcW w:w="2479" w:type="pct"/>
            <w:tcBorders>
              <w:left w:val="double" w:sz="4" w:space="0" w:color="auto"/>
            </w:tcBorders>
            <w:shd w:val="clear" w:color="auto" w:fill="FBD4B4" w:themeFill="accent6" w:themeFillTint="66"/>
            <w:hideMark/>
          </w:tcPr>
          <w:p w:rsidR="009846CC" w:rsidRPr="009A6247" w:rsidRDefault="009846CC" w:rsidP="00E16426">
            <w:pPr>
              <w:spacing w:line="240" w:lineRule="auto"/>
              <w:ind w:left="151" w:hanging="151"/>
              <w:rPr>
                <w:rFonts w:cs="Calibri"/>
                <w:color w:val="000000"/>
                <w:sz w:val="22"/>
                <w:szCs w:val="22"/>
                <w:lang w:bidi="ta-IN"/>
              </w:rPr>
            </w:pPr>
            <w:r w:rsidRPr="009A6247">
              <w:rPr>
                <w:rFonts w:cs="Calibri"/>
                <w:color w:val="000000"/>
                <w:sz w:val="22"/>
                <w:szCs w:val="22"/>
                <w:lang w:bidi="ta-IN"/>
              </w:rPr>
              <w:t>• Increase in cost of conventional power</w:t>
            </w:r>
          </w:p>
          <w:p w:rsidR="009846CC" w:rsidRPr="009A6247" w:rsidRDefault="009846CC" w:rsidP="00E16426">
            <w:pPr>
              <w:spacing w:line="240" w:lineRule="auto"/>
              <w:ind w:left="151" w:hanging="151"/>
              <w:rPr>
                <w:rFonts w:cs="Calibri"/>
                <w:color w:val="000000"/>
                <w:sz w:val="22"/>
                <w:szCs w:val="22"/>
                <w:lang w:bidi="ta-IN"/>
              </w:rPr>
            </w:pPr>
          </w:p>
        </w:tc>
      </w:tr>
      <w:tr w:rsidR="009846CC" w:rsidRPr="002F499F" w:rsidTr="009A6247">
        <w:trPr>
          <w:trHeight w:val="685"/>
        </w:trPr>
        <w:tc>
          <w:tcPr>
            <w:tcW w:w="2521" w:type="pct"/>
            <w:tcBorders>
              <w:right w:val="double" w:sz="4" w:space="0" w:color="auto"/>
            </w:tcBorders>
            <w:shd w:val="clear" w:color="auto" w:fill="D6E3BC" w:themeFill="accent3" w:themeFillTint="66"/>
            <w:hideMark/>
          </w:tcPr>
          <w:p w:rsidR="009846CC" w:rsidRPr="009A6247" w:rsidRDefault="009846CC" w:rsidP="00E16426">
            <w:pPr>
              <w:spacing w:line="240" w:lineRule="auto"/>
              <w:rPr>
                <w:rFonts w:cs="Calibri"/>
                <w:color w:val="000000"/>
                <w:sz w:val="22"/>
                <w:szCs w:val="22"/>
                <w:lang w:val="en-US" w:bidi="ta-IN"/>
              </w:rPr>
            </w:pPr>
            <w:r w:rsidRPr="009A6247">
              <w:rPr>
                <w:rFonts w:cs="Calibri"/>
                <w:color w:val="000000"/>
                <w:sz w:val="22"/>
                <w:szCs w:val="22"/>
                <w:lang w:bidi="ta-IN"/>
              </w:rPr>
              <w:t>• Availability of RE power at cheaper rates.</w:t>
            </w:r>
          </w:p>
        </w:tc>
        <w:tc>
          <w:tcPr>
            <w:tcW w:w="2479" w:type="pct"/>
            <w:tcBorders>
              <w:left w:val="double" w:sz="4" w:space="0" w:color="auto"/>
            </w:tcBorders>
            <w:shd w:val="clear" w:color="auto" w:fill="FBD4B4" w:themeFill="accent6" w:themeFillTint="66"/>
            <w:hideMark/>
          </w:tcPr>
          <w:p w:rsidR="009846CC" w:rsidRPr="009A6247" w:rsidRDefault="009846CC" w:rsidP="00E16426">
            <w:pPr>
              <w:spacing w:line="240" w:lineRule="auto"/>
              <w:ind w:left="151" w:hanging="151"/>
              <w:rPr>
                <w:rFonts w:cs="Calibri"/>
                <w:color w:val="000000"/>
                <w:sz w:val="22"/>
                <w:szCs w:val="22"/>
                <w:lang w:bidi="ta-IN"/>
              </w:rPr>
            </w:pPr>
            <w:r>
              <w:rPr>
                <w:rFonts w:cs="Calibri"/>
                <w:color w:val="000000"/>
                <w:sz w:val="22"/>
                <w:szCs w:val="22"/>
                <w:lang w:bidi="ta-IN"/>
              </w:rPr>
              <w:t>•</w:t>
            </w:r>
            <w:r w:rsidRPr="009A6247">
              <w:rPr>
                <w:rFonts w:cs="Calibri"/>
                <w:color w:val="000000"/>
                <w:sz w:val="22"/>
                <w:szCs w:val="22"/>
                <w:lang w:bidi="ta-IN"/>
              </w:rPr>
              <w:t>Reduction in consumption of energy by Industries</w:t>
            </w:r>
          </w:p>
        </w:tc>
      </w:tr>
      <w:tr w:rsidR="009846CC" w:rsidRPr="002F499F" w:rsidTr="009A6247">
        <w:trPr>
          <w:trHeight w:val="685"/>
        </w:trPr>
        <w:tc>
          <w:tcPr>
            <w:tcW w:w="2521" w:type="pct"/>
            <w:tcBorders>
              <w:right w:val="double" w:sz="4" w:space="0" w:color="auto"/>
            </w:tcBorders>
            <w:shd w:val="clear" w:color="auto" w:fill="D6E3BC" w:themeFill="accent3" w:themeFillTint="66"/>
            <w:hideMark/>
          </w:tcPr>
          <w:p w:rsidR="009846CC" w:rsidRPr="009A6247" w:rsidRDefault="009846CC" w:rsidP="00E16426">
            <w:pPr>
              <w:spacing w:line="240" w:lineRule="auto"/>
              <w:rPr>
                <w:rFonts w:cs="Calibri"/>
                <w:color w:val="000000"/>
                <w:sz w:val="22"/>
                <w:szCs w:val="22"/>
                <w:lang w:val="en-US" w:bidi="ta-IN"/>
              </w:rPr>
            </w:pPr>
            <w:r w:rsidRPr="009A6247">
              <w:rPr>
                <w:rFonts w:cs="Calibri"/>
                <w:color w:val="000000"/>
                <w:sz w:val="22"/>
                <w:szCs w:val="22"/>
                <w:lang w:bidi="ta-IN"/>
              </w:rPr>
              <w:t>• Setting up Robust Smart Grid Infrastructure</w:t>
            </w:r>
          </w:p>
        </w:tc>
        <w:tc>
          <w:tcPr>
            <w:tcW w:w="2479" w:type="pct"/>
            <w:tcBorders>
              <w:left w:val="double" w:sz="4" w:space="0" w:color="auto"/>
            </w:tcBorders>
            <w:shd w:val="clear" w:color="auto" w:fill="FBD4B4" w:themeFill="accent6" w:themeFillTint="66"/>
            <w:hideMark/>
          </w:tcPr>
          <w:p w:rsidR="009846CC" w:rsidRPr="009A6247" w:rsidRDefault="009846CC" w:rsidP="00E16426">
            <w:pPr>
              <w:spacing w:line="240" w:lineRule="auto"/>
              <w:ind w:left="151" w:hanging="151"/>
              <w:rPr>
                <w:rFonts w:cs="Calibri"/>
                <w:color w:val="000000"/>
                <w:sz w:val="22"/>
                <w:szCs w:val="22"/>
                <w:lang w:bidi="ta-IN"/>
              </w:rPr>
            </w:pPr>
            <w:r w:rsidRPr="009A6247">
              <w:rPr>
                <w:rFonts w:cs="Calibri"/>
                <w:color w:val="000000"/>
                <w:sz w:val="22"/>
                <w:szCs w:val="22"/>
                <w:lang w:bidi="ta-IN"/>
              </w:rPr>
              <w:t>• Market Uncertainty</w:t>
            </w:r>
          </w:p>
        </w:tc>
      </w:tr>
      <w:tr w:rsidR="009846CC" w:rsidRPr="002F499F" w:rsidTr="009A6247">
        <w:trPr>
          <w:trHeight w:val="685"/>
        </w:trPr>
        <w:tc>
          <w:tcPr>
            <w:tcW w:w="2521" w:type="pct"/>
            <w:tcBorders>
              <w:right w:val="double" w:sz="4" w:space="0" w:color="auto"/>
            </w:tcBorders>
            <w:shd w:val="clear" w:color="auto" w:fill="D6E3BC" w:themeFill="accent3" w:themeFillTint="66"/>
            <w:hideMark/>
          </w:tcPr>
          <w:p w:rsidR="009846CC" w:rsidRPr="009A6247" w:rsidRDefault="009846CC" w:rsidP="00E16426">
            <w:pPr>
              <w:spacing w:line="240" w:lineRule="auto"/>
              <w:rPr>
                <w:rFonts w:cs="Calibri"/>
                <w:color w:val="000000"/>
                <w:sz w:val="22"/>
                <w:szCs w:val="22"/>
                <w:lang w:val="en-US" w:bidi="ta-IN"/>
              </w:rPr>
            </w:pPr>
            <w:r w:rsidRPr="009A6247">
              <w:rPr>
                <w:rFonts w:cs="Calibri"/>
                <w:color w:val="000000"/>
                <w:sz w:val="22"/>
                <w:szCs w:val="22"/>
                <w:lang w:bidi="ta-IN"/>
              </w:rPr>
              <w:t>• Connectivity of all regions with the SR Grid.</w:t>
            </w:r>
          </w:p>
        </w:tc>
        <w:tc>
          <w:tcPr>
            <w:tcW w:w="2479" w:type="pct"/>
            <w:tcBorders>
              <w:left w:val="double" w:sz="4" w:space="0" w:color="auto"/>
            </w:tcBorders>
            <w:shd w:val="clear" w:color="auto" w:fill="FBD4B4" w:themeFill="accent6" w:themeFillTint="66"/>
            <w:hideMark/>
          </w:tcPr>
          <w:p w:rsidR="009846CC" w:rsidRPr="009A6247" w:rsidRDefault="009846CC" w:rsidP="00E16426">
            <w:pPr>
              <w:spacing w:line="240" w:lineRule="auto"/>
              <w:rPr>
                <w:rFonts w:ascii="Wingdings" w:hAnsi="Wingdings" w:cs="Calibri"/>
                <w:color w:val="000000"/>
                <w:sz w:val="22"/>
                <w:szCs w:val="22"/>
                <w:lang w:val="en-US" w:bidi="ta-IN"/>
              </w:rPr>
            </w:pPr>
          </w:p>
        </w:tc>
      </w:tr>
    </w:tbl>
    <w:p w:rsidR="009846CC" w:rsidRPr="00423EC2" w:rsidRDefault="009846CC" w:rsidP="009846CC">
      <w:pPr>
        <w:pStyle w:val="EDNormal"/>
      </w:pPr>
    </w:p>
    <w:p w:rsidR="009846CC" w:rsidRPr="003F36A6" w:rsidRDefault="009846CC" w:rsidP="009846CC">
      <w:pPr>
        <w:pStyle w:val="ED-H3"/>
        <w:rPr>
          <w:b/>
          <w:u w:val="single"/>
        </w:rPr>
      </w:pPr>
      <w:r w:rsidRPr="003F36A6">
        <w:rPr>
          <w:b/>
          <w:u w:val="single"/>
        </w:rPr>
        <w:t>STRENGTHS:</w:t>
      </w:r>
    </w:p>
    <w:p w:rsidR="009846CC" w:rsidRPr="003F36A6" w:rsidRDefault="009846CC" w:rsidP="009846CC">
      <w:pPr>
        <w:pStyle w:val="EDNormal"/>
        <w:numPr>
          <w:ilvl w:val="0"/>
          <w:numId w:val="3"/>
        </w:numPr>
        <w:tabs>
          <w:tab w:val="clear" w:pos="9000"/>
        </w:tabs>
        <w:ind w:left="1080"/>
        <w:rPr>
          <w:b/>
        </w:rPr>
      </w:pPr>
      <w:r>
        <w:rPr>
          <w:b/>
        </w:rPr>
        <w:t xml:space="preserve">Availability of adequate </w:t>
      </w:r>
      <w:r w:rsidRPr="00092773">
        <w:rPr>
          <w:b/>
        </w:rPr>
        <w:t xml:space="preserve">Power Supply: </w:t>
      </w:r>
      <w:r>
        <w:t>PED</w:t>
      </w:r>
      <w:r w:rsidRPr="00092773">
        <w:t xml:space="preserve"> for long has been able to supply uninterrupted power to its consumers thereby not letting its consumers subject to</w:t>
      </w:r>
      <w:r>
        <w:t xml:space="preserve"> regular</w:t>
      </w:r>
      <w:r w:rsidRPr="00092773">
        <w:t xml:space="preserve"> load shedding and has the capabi</w:t>
      </w:r>
      <w:r>
        <w:t xml:space="preserve">lity to do so in the future.  </w:t>
      </w:r>
    </w:p>
    <w:p w:rsidR="003F36A6" w:rsidRPr="00744C9A" w:rsidRDefault="003F36A6" w:rsidP="003F36A6">
      <w:pPr>
        <w:pStyle w:val="EDNormal"/>
        <w:tabs>
          <w:tab w:val="clear" w:pos="9000"/>
        </w:tabs>
        <w:ind w:left="1080"/>
        <w:rPr>
          <w:b/>
        </w:rPr>
      </w:pPr>
    </w:p>
    <w:p w:rsidR="009846CC" w:rsidRPr="003F36A6" w:rsidRDefault="009846CC" w:rsidP="009846CC">
      <w:pPr>
        <w:pStyle w:val="EDNormal"/>
        <w:numPr>
          <w:ilvl w:val="0"/>
          <w:numId w:val="3"/>
        </w:numPr>
        <w:tabs>
          <w:tab w:val="clear" w:pos="9000"/>
        </w:tabs>
        <w:ind w:left="1080"/>
        <w:rPr>
          <w:b/>
        </w:rPr>
      </w:pPr>
      <w:r w:rsidRPr="00724B84">
        <w:rPr>
          <w:b/>
        </w:rPr>
        <w:t xml:space="preserve">Robust System/Infrastructure: </w:t>
      </w:r>
      <w:r>
        <w:t xml:space="preserve">PED has invested in its system/network to make it robust and has been providing quality and reliable power supply to its consumers. </w:t>
      </w:r>
    </w:p>
    <w:p w:rsidR="003F36A6" w:rsidRDefault="003F36A6" w:rsidP="003F36A6">
      <w:pPr>
        <w:pStyle w:val="EDNormal"/>
        <w:tabs>
          <w:tab w:val="clear" w:pos="9000"/>
        </w:tabs>
        <w:ind w:left="1080"/>
        <w:rPr>
          <w:b/>
        </w:rPr>
      </w:pPr>
    </w:p>
    <w:p w:rsidR="009846CC" w:rsidRPr="003F36A6" w:rsidRDefault="009846CC" w:rsidP="009846CC">
      <w:pPr>
        <w:pStyle w:val="EDNormal"/>
        <w:numPr>
          <w:ilvl w:val="0"/>
          <w:numId w:val="3"/>
        </w:numPr>
        <w:tabs>
          <w:tab w:val="clear" w:pos="9000"/>
        </w:tabs>
        <w:ind w:left="1080"/>
        <w:rPr>
          <w:b/>
        </w:rPr>
      </w:pPr>
      <w:r>
        <w:rPr>
          <w:b/>
        </w:rPr>
        <w:t xml:space="preserve">Implementation of latest technologies: </w:t>
      </w:r>
      <w:r>
        <w:t>Further, PED</w:t>
      </w:r>
      <w:r w:rsidRPr="00092773">
        <w:t xml:space="preserve"> has been very proficient in</w:t>
      </w:r>
      <w:r>
        <w:t xml:space="preserve"> adoption/implementation of new technologies andkeeping </w:t>
      </w:r>
      <w:r w:rsidRPr="00092773">
        <w:t xml:space="preserve">the Distribution Losses </w:t>
      </w:r>
      <w:r>
        <w:t>at lower level over the last few years</w:t>
      </w:r>
      <w:r w:rsidRPr="00744C9A">
        <w:t>.</w:t>
      </w:r>
    </w:p>
    <w:p w:rsidR="009846CC" w:rsidRDefault="009846CC" w:rsidP="009846CC">
      <w:pPr>
        <w:pStyle w:val="EDNormal"/>
        <w:numPr>
          <w:ilvl w:val="0"/>
          <w:numId w:val="3"/>
        </w:numPr>
        <w:tabs>
          <w:tab w:val="clear" w:pos="9000"/>
        </w:tabs>
        <w:ind w:left="1080"/>
        <w:rPr>
          <w:b/>
        </w:rPr>
      </w:pPr>
      <w:r>
        <w:rPr>
          <w:b/>
        </w:rPr>
        <w:t>Yearly and timely filing of Tariff petitions, CompetitiveTariff and Simple &amp; Robust T</w:t>
      </w:r>
      <w:r w:rsidRPr="00092773">
        <w:rPr>
          <w:b/>
        </w:rPr>
        <w:t>ariff</w:t>
      </w:r>
      <w:r>
        <w:rPr>
          <w:b/>
        </w:rPr>
        <w:t xml:space="preserve"> Structure</w:t>
      </w:r>
      <w:r w:rsidRPr="00092773">
        <w:rPr>
          <w:b/>
        </w:rPr>
        <w:t xml:space="preserve">: </w:t>
      </w:r>
      <w:r>
        <w:t>PED</w:t>
      </w:r>
      <w:r w:rsidRPr="00092773">
        <w:t xml:space="preserve"> has </w:t>
      </w:r>
      <w:r>
        <w:t xml:space="preserve">by very efficient in following the policies and Regulations of the Commission timely filing of tariff/true-up/APR petitions on yearly basis. Further, PED has been able to maintain </w:t>
      </w:r>
      <w:r w:rsidRPr="00092773">
        <w:t xml:space="preserve">lower tariffs </w:t>
      </w:r>
      <w:r>
        <w:t>as</w:t>
      </w:r>
      <w:r w:rsidRPr="00092773">
        <w:t xml:space="preserve"> compared to the </w:t>
      </w:r>
      <w:r>
        <w:t xml:space="preserve">other </w:t>
      </w:r>
      <w:r w:rsidRPr="00092773">
        <w:t>utiliti</w:t>
      </w:r>
      <w:r>
        <w:t>es in the neighbouring States and the tariff structure is the one of the simplest and robust when compared to other utilities in the Country.</w:t>
      </w:r>
    </w:p>
    <w:p w:rsidR="009846CC" w:rsidRPr="0036591E" w:rsidRDefault="009846CC" w:rsidP="009846CC">
      <w:pPr>
        <w:pStyle w:val="EDNormal"/>
      </w:pPr>
    </w:p>
    <w:p w:rsidR="009846CC" w:rsidRPr="003F36A6" w:rsidRDefault="009846CC" w:rsidP="009846CC">
      <w:pPr>
        <w:pStyle w:val="ED-H3"/>
        <w:rPr>
          <w:b/>
          <w:u w:val="single"/>
        </w:rPr>
      </w:pPr>
      <w:r w:rsidRPr="003F36A6">
        <w:rPr>
          <w:b/>
          <w:u w:val="single"/>
        </w:rPr>
        <w:t>WEAKNESSES:</w:t>
      </w:r>
    </w:p>
    <w:p w:rsidR="003F36A6" w:rsidRPr="003F36A6" w:rsidRDefault="009846CC" w:rsidP="009846CC">
      <w:pPr>
        <w:pStyle w:val="EDNormal"/>
        <w:numPr>
          <w:ilvl w:val="0"/>
          <w:numId w:val="2"/>
        </w:numPr>
        <w:tabs>
          <w:tab w:val="clear" w:pos="9000"/>
        </w:tabs>
        <w:ind w:left="1080"/>
        <w:rPr>
          <w:b/>
        </w:rPr>
      </w:pPr>
      <w:r w:rsidRPr="00163062">
        <w:rPr>
          <w:b/>
        </w:rPr>
        <w:t>Inadequate availability of Funds</w:t>
      </w:r>
      <w:r>
        <w:t>: PED being the government department needs budget allocation by the government for funds to incur any expenditure. Even availing of loan from the financial institutions for the development works of the Electricity Department is subject to overall borrowing limit of the Union Territory.</w:t>
      </w:r>
    </w:p>
    <w:p w:rsidR="009846CC" w:rsidRPr="00163062" w:rsidRDefault="009846CC" w:rsidP="003F36A6">
      <w:pPr>
        <w:pStyle w:val="EDNormal"/>
        <w:tabs>
          <w:tab w:val="clear" w:pos="9000"/>
        </w:tabs>
        <w:ind w:left="1080"/>
        <w:rPr>
          <w:b/>
        </w:rPr>
      </w:pPr>
    </w:p>
    <w:p w:rsidR="009846CC" w:rsidRDefault="009846CC" w:rsidP="009846CC">
      <w:pPr>
        <w:pStyle w:val="EDNormal"/>
        <w:numPr>
          <w:ilvl w:val="0"/>
          <w:numId w:val="2"/>
        </w:numPr>
        <w:tabs>
          <w:tab w:val="clear" w:pos="9000"/>
        </w:tabs>
        <w:ind w:left="1080"/>
        <w:rPr>
          <w:b/>
        </w:rPr>
      </w:pPr>
      <w:r w:rsidRPr="00163062">
        <w:rPr>
          <w:b/>
        </w:rPr>
        <w:t>Old Billing Software:</w:t>
      </w:r>
      <w:r w:rsidRPr="009A6247">
        <w:t>The billing software of PED</w:t>
      </w:r>
      <w:r>
        <w:t xml:space="preserve"> is very old and almost obsolete and needs continuous upgradation, which leads to a lot of billing and collection issues. Upgradation of the billing software has been covered under the project RAPDRP – Part A (IT Part). However, the work has not been executed due to litigation between TANGEDCO and IT Implementation Agency. In the meantime, in order to resolve various issues in the old billing software, it is proposed to upgrade the Billing Software by entrusting the work to M/s National Informatics Centre</w:t>
      </w:r>
      <w:r w:rsidRPr="00163062">
        <w:rPr>
          <w:b/>
        </w:rPr>
        <w:t>.</w:t>
      </w:r>
    </w:p>
    <w:p w:rsidR="003F36A6" w:rsidRDefault="003F36A6" w:rsidP="003F36A6">
      <w:pPr>
        <w:pStyle w:val="ListParagraph"/>
        <w:rPr>
          <w:b/>
        </w:rPr>
      </w:pPr>
    </w:p>
    <w:p w:rsidR="009846CC" w:rsidRPr="00170B84" w:rsidRDefault="009846CC" w:rsidP="009846CC">
      <w:pPr>
        <w:pStyle w:val="EDNormal"/>
        <w:numPr>
          <w:ilvl w:val="0"/>
          <w:numId w:val="2"/>
        </w:numPr>
        <w:tabs>
          <w:tab w:val="clear" w:pos="9000"/>
        </w:tabs>
        <w:ind w:left="1080"/>
        <w:rPr>
          <w:b/>
        </w:rPr>
      </w:pPr>
      <w:r>
        <w:rPr>
          <w:b/>
        </w:rPr>
        <w:t>Filling up of vacant posts</w:t>
      </w:r>
      <w:r w:rsidRPr="00092773">
        <w:rPr>
          <w:b/>
        </w:rPr>
        <w:t xml:space="preserve">: </w:t>
      </w:r>
      <w:r>
        <w:t xml:space="preserve">PEDnetwork, consumers and sales keep on increasing at a constant growth rate and to cater then a considerable amount of manpower is also required, especially for O&amp;M and fault rectification purposes. However, there are a lot of sanctioned posts still vacant, which PED has not been able to fill up completely. </w:t>
      </w:r>
    </w:p>
    <w:p w:rsidR="009846CC" w:rsidRPr="00092773" w:rsidRDefault="009846CC" w:rsidP="009846CC">
      <w:pPr>
        <w:pStyle w:val="EDNormal"/>
      </w:pPr>
    </w:p>
    <w:p w:rsidR="009846CC" w:rsidRPr="003F36A6" w:rsidRDefault="009846CC" w:rsidP="009846CC">
      <w:pPr>
        <w:pStyle w:val="ED-H3"/>
        <w:rPr>
          <w:b/>
          <w:u w:val="single"/>
        </w:rPr>
      </w:pPr>
      <w:r w:rsidRPr="003F36A6">
        <w:rPr>
          <w:b/>
          <w:u w:val="single"/>
        </w:rPr>
        <w:t>OPPORTUNITIES:</w:t>
      </w:r>
    </w:p>
    <w:p w:rsidR="009846CC" w:rsidRPr="00146432" w:rsidRDefault="009846CC" w:rsidP="00146432">
      <w:pPr>
        <w:pStyle w:val="EDNormal"/>
        <w:numPr>
          <w:ilvl w:val="0"/>
          <w:numId w:val="2"/>
        </w:numPr>
        <w:tabs>
          <w:tab w:val="clear" w:pos="9000"/>
        </w:tabs>
        <w:ind w:left="1080"/>
        <w:rPr>
          <w:b/>
        </w:rPr>
      </w:pPr>
      <w:r>
        <w:rPr>
          <w:b/>
        </w:rPr>
        <w:t xml:space="preserve">Strengthening of Infrastructure by availing JICA Loan:  </w:t>
      </w:r>
      <w:r w:rsidRPr="00B43AC8">
        <w:rPr>
          <w:rFonts w:ascii="Times New Roman" w:hAnsi="Times New Roman"/>
          <w:szCs w:val="24"/>
        </w:rPr>
        <w:t xml:space="preserve">The CEA accorded the Technical clearance for </w:t>
      </w:r>
      <w:r>
        <w:rPr>
          <w:rFonts w:ascii="Times New Roman" w:hAnsi="Times New Roman"/>
          <w:szCs w:val="24"/>
        </w:rPr>
        <w:t>all three parts of</w:t>
      </w:r>
      <w:r w:rsidRPr="00B43AC8">
        <w:rPr>
          <w:rFonts w:ascii="Times New Roman" w:hAnsi="Times New Roman"/>
          <w:szCs w:val="24"/>
        </w:rPr>
        <w:t>DPR</w:t>
      </w:r>
      <w:r>
        <w:t xml:space="preserve">. </w:t>
      </w:r>
      <w:r w:rsidR="00735CAB">
        <w:t>Total investment is Rs. 983.43 Crore</w:t>
      </w:r>
      <w:r w:rsidRPr="00765CB9">
        <w:t xml:space="preserve">. Implementation period is 5 years. IRR works out to 15.46% which is acceptable for similar works like R-APDRP.In nutshell, implementation of this project will result in uniform coverage of all four region in terms of Transmission </w:t>
      </w:r>
      <w:r w:rsidRPr="00765CB9">
        <w:lastRenderedPageBreak/>
        <w:t>and Distribution infrastructure works. Increase in Transformation capacity and Power transfer capacity across power value chain. The present Transmission and Distribution loss is approximately 15% and after implementation of this project the loss would come down to 10%.The reduction in Power requirement would be 150 MUs and the approximate saving i</w:t>
      </w:r>
      <w:r>
        <w:t xml:space="preserve">n Power purchase cost would be </w:t>
      </w:r>
      <w:r w:rsidRPr="00765CB9">
        <w:t>Rs 60.00 Crores per annum which is more than the annual repayment amount to JICA.</w:t>
      </w:r>
    </w:p>
    <w:p w:rsidR="003F36A6" w:rsidRPr="00605131" w:rsidRDefault="003F36A6" w:rsidP="003F36A6">
      <w:pPr>
        <w:pStyle w:val="EDNormal"/>
        <w:tabs>
          <w:tab w:val="clear" w:pos="9000"/>
        </w:tabs>
        <w:ind w:left="1080"/>
        <w:rPr>
          <w:b/>
        </w:rPr>
      </w:pPr>
    </w:p>
    <w:p w:rsidR="009846CC" w:rsidRDefault="009846CC" w:rsidP="009846CC">
      <w:pPr>
        <w:pStyle w:val="EDNormal"/>
        <w:numPr>
          <w:ilvl w:val="0"/>
          <w:numId w:val="2"/>
        </w:numPr>
        <w:tabs>
          <w:tab w:val="clear" w:pos="9000"/>
        </w:tabs>
        <w:ind w:left="1080"/>
        <w:rPr>
          <w:b/>
        </w:rPr>
      </w:pPr>
      <w:r>
        <w:rPr>
          <w:b/>
        </w:rPr>
        <w:t xml:space="preserve">Availability of RE power at cheaper rates: </w:t>
      </w:r>
      <w:r w:rsidRPr="009A6247">
        <w:t xml:space="preserve">The recent </w:t>
      </w:r>
      <w:r>
        <w:t xml:space="preserve">competitive bidding for Renewable Energy sources especially for Solar and Wind, have discovered per unit cost as low as Rs. 2.50/unit. The present RE market is coming at par or even lower than the conventional power cost. PED is keeping track of this opportunity and shall try to avail the cheaper RE power to fulfil its RPO obligations and any excess power requirements. </w:t>
      </w:r>
    </w:p>
    <w:p w:rsidR="003F36A6" w:rsidRDefault="003F36A6" w:rsidP="003F36A6">
      <w:pPr>
        <w:pStyle w:val="ListParagraph"/>
        <w:rPr>
          <w:b/>
        </w:rPr>
      </w:pPr>
    </w:p>
    <w:p w:rsidR="009846CC" w:rsidRPr="00524B1F" w:rsidRDefault="009846CC" w:rsidP="009846CC">
      <w:pPr>
        <w:pStyle w:val="EDNormal"/>
        <w:numPr>
          <w:ilvl w:val="0"/>
          <w:numId w:val="2"/>
        </w:numPr>
        <w:tabs>
          <w:tab w:val="clear" w:pos="9000"/>
        </w:tabs>
        <w:ind w:left="1080"/>
        <w:rPr>
          <w:b/>
        </w:rPr>
      </w:pPr>
      <w:r w:rsidRPr="00524B1F">
        <w:rPr>
          <w:b/>
        </w:rPr>
        <w:t xml:space="preserve">Implementation of energy conservation schemes: </w:t>
      </w:r>
      <w:r w:rsidRPr="00524B1F">
        <w:t>PED has associated with EESL to implement energy conservation schemes in the UT. There are a lot of opportunities that can be explored in the area for example, using all LED street lights, using energy efficient water/agricultural pumps etc. T</w:t>
      </w:r>
      <w:r>
        <w:t>he following measures are proposed to taken to encourage energy conservation, in addition to conversion of existing street lights into LED street lights.</w:t>
      </w:r>
    </w:p>
    <w:p w:rsidR="009846CC" w:rsidRPr="00524B1F" w:rsidRDefault="009846CC" w:rsidP="009846CC">
      <w:pPr>
        <w:pStyle w:val="EDNormal"/>
        <w:numPr>
          <w:ilvl w:val="0"/>
          <w:numId w:val="46"/>
        </w:numPr>
        <w:rPr>
          <w:bCs/>
          <w:lang w:val="en-IN"/>
        </w:rPr>
      </w:pPr>
      <w:r w:rsidRPr="00524B1F">
        <w:rPr>
          <w:bCs/>
          <w:lang w:val="en-US"/>
        </w:rPr>
        <w:t xml:space="preserve">Enforcing 10% cut on power consumption in Govt Buildings. </w:t>
      </w:r>
    </w:p>
    <w:p w:rsidR="009846CC" w:rsidRPr="00524B1F" w:rsidRDefault="009846CC" w:rsidP="009846CC">
      <w:pPr>
        <w:pStyle w:val="EDNormal"/>
        <w:numPr>
          <w:ilvl w:val="0"/>
          <w:numId w:val="46"/>
        </w:numPr>
        <w:rPr>
          <w:bCs/>
          <w:lang w:val="en-IN"/>
        </w:rPr>
      </w:pPr>
      <w:r w:rsidRPr="00524B1F">
        <w:rPr>
          <w:bCs/>
          <w:lang w:val="en-IN"/>
        </w:rPr>
        <w:t>Enforcing all new equipments to be of energy efficient / star rated.</w:t>
      </w:r>
    </w:p>
    <w:p w:rsidR="009846CC" w:rsidRPr="00524B1F" w:rsidRDefault="009846CC" w:rsidP="009846CC">
      <w:pPr>
        <w:pStyle w:val="EDNormal"/>
        <w:numPr>
          <w:ilvl w:val="0"/>
          <w:numId w:val="46"/>
        </w:numPr>
        <w:rPr>
          <w:bCs/>
          <w:lang w:val="en-IN"/>
        </w:rPr>
      </w:pPr>
      <w:r w:rsidRPr="00524B1F">
        <w:rPr>
          <w:bCs/>
          <w:lang w:val="en-IN"/>
        </w:rPr>
        <w:t>Energy audit of high consumption buildings such as Hospitals, Government offices etc.</w:t>
      </w:r>
    </w:p>
    <w:p w:rsidR="009846CC" w:rsidRPr="00524B1F" w:rsidRDefault="009846CC" w:rsidP="009846CC">
      <w:pPr>
        <w:pStyle w:val="EDNormal"/>
        <w:numPr>
          <w:ilvl w:val="0"/>
          <w:numId w:val="46"/>
        </w:numPr>
        <w:rPr>
          <w:b/>
          <w:lang w:val="en-IN"/>
        </w:rPr>
      </w:pPr>
      <w:r w:rsidRPr="00524B1F">
        <w:rPr>
          <w:bCs/>
          <w:lang w:val="en-IN"/>
        </w:rPr>
        <w:t>Creation of awareness on conservation of energy among public</w:t>
      </w:r>
      <w:r w:rsidRPr="00524B1F">
        <w:rPr>
          <w:b/>
          <w:lang w:val="en-IN"/>
        </w:rPr>
        <w:t>.</w:t>
      </w:r>
    </w:p>
    <w:p w:rsidR="009846CC" w:rsidRDefault="009846CC" w:rsidP="009846CC">
      <w:pPr>
        <w:pStyle w:val="EDNormal"/>
        <w:tabs>
          <w:tab w:val="clear" w:pos="9000"/>
        </w:tabs>
        <w:ind w:left="1080"/>
        <w:rPr>
          <w:b/>
        </w:rPr>
      </w:pPr>
    </w:p>
    <w:p w:rsidR="009846CC" w:rsidRPr="003F36A6" w:rsidRDefault="009846CC" w:rsidP="009846CC">
      <w:pPr>
        <w:pStyle w:val="EDNormal"/>
        <w:numPr>
          <w:ilvl w:val="0"/>
          <w:numId w:val="2"/>
        </w:numPr>
        <w:tabs>
          <w:tab w:val="clear" w:pos="9000"/>
        </w:tabs>
        <w:ind w:left="1080"/>
        <w:rPr>
          <w:b/>
        </w:rPr>
      </w:pPr>
      <w:r>
        <w:rPr>
          <w:b/>
        </w:rPr>
        <w:t xml:space="preserve">Setting up Robust Smart Grid Infrastructure: </w:t>
      </w:r>
      <w:r>
        <w:t>PED</w:t>
      </w:r>
      <w:r w:rsidRPr="00605131">
        <w:t xml:space="preserve">has been </w:t>
      </w:r>
      <w:r>
        <w:t>the front runner in setting up a live smart grid pilot project to improve the distribution infrastructure. There is further scope for setting up a more robust smart infrastructure with adequate support from both the Central and State Government.</w:t>
      </w:r>
      <w:r w:rsidRPr="00A4527C">
        <w:rPr>
          <w:rFonts w:asciiTheme="minorHAnsi" w:hAnsiTheme="minorHAnsi" w:cstheme="minorHAnsi"/>
          <w:szCs w:val="24"/>
        </w:rPr>
        <w:t xml:space="preserve">PED has entered into </w:t>
      </w:r>
      <w:r w:rsidR="001D660C" w:rsidRPr="00A4527C">
        <w:rPr>
          <w:rFonts w:asciiTheme="minorHAnsi" w:hAnsiTheme="minorHAnsi" w:cstheme="minorHAnsi"/>
          <w:szCs w:val="24"/>
        </w:rPr>
        <w:t>a</w:t>
      </w:r>
      <w:r w:rsidRPr="00A4527C">
        <w:rPr>
          <w:rFonts w:asciiTheme="minorHAnsi" w:hAnsiTheme="minorHAnsi" w:cstheme="minorHAnsi"/>
          <w:szCs w:val="24"/>
        </w:rPr>
        <w:t xml:space="preserve"> MoU with M/s Power Grid Corporation of India Limited wherein M/s Power Grid along with their associates/ collaborators would be responsible for establishment of pilot Smart Grid in Puducherry to jointly develop the Smart Grid Pilot Project in Puducherry. The project will mainly involve installation of advance metering infrastructure (AMI) with a Central Data Control Centre which will help both the consumer and the PED</w:t>
      </w:r>
    </w:p>
    <w:p w:rsidR="003F36A6" w:rsidRDefault="003F36A6" w:rsidP="003F36A6">
      <w:pPr>
        <w:pStyle w:val="EDNormal"/>
        <w:tabs>
          <w:tab w:val="clear" w:pos="9000"/>
        </w:tabs>
        <w:ind w:left="1080"/>
        <w:rPr>
          <w:b/>
        </w:rPr>
      </w:pPr>
    </w:p>
    <w:p w:rsidR="009846CC" w:rsidRPr="00605131" w:rsidRDefault="009846CC" w:rsidP="009846CC">
      <w:pPr>
        <w:pStyle w:val="EDNormal"/>
        <w:numPr>
          <w:ilvl w:val="0"/>
          <w:numId w:val="2"/>
        </w:numPr>
        <w:tabs>
          <w:tab w:val="clear" w:pos="9000"/>
        </w:tabs>
        <w:ind w:left="1080"/>
        <w:rPr>
          <w:b/>
        </w:rPr>
      </w:pPr>
      <w:r>
        <w:rPr>
          <w:b/>
        </w:rPr>
        <w:t>Connectivity of all Regions to SR Grid: T</w:t>
      </w:r>
      <w:r w:rsidRPr="009A6247">
        <w:t xml:space="preserve">he integration of the southern power grid with the national grid fulfils a long-felt need of consumers and state </w:t>
      </w:r>
      <w:r w:rsidRPr="009A6247">
        <w:lastRenderedPageBreak/>
        <w:t>electricity utilities in the South</w:t>
      </w:r>
      <w:r>
        <w:t>. Now power can be purchased from any part of India without connectivity issues and at cheaper rates.</w:t>
      </w:r>
    </w:p>
    <w:p w:rsidR="009846CC" w:rsidRPr="00E165CF" w:rsidRDefault="009846CC" w:rsidP="009846CC">
      <w:pPr>
        <w:pStyle w:val="EDNormal"/>
        <w:tabs>
          <w:tab w:val="clear" w:pos="9000"/>
        </w:tabs>
      </w:pPr>
    </w:p>
    <w:p w:rsidR="009846CC" w:rsidRPr="003F36A6" w:rsidRDefault="009846CC" w:rsidP="009846CC">
      <w:pPr>
        <w:pStyle w:val="ED-H3"/>
        <w:rPr>
          <w:b/>
          <w:u w:val="single"/>
        </w:rPr>
      </w:pPr>
      <w:r w:rsidRPr="003F36A6">
        <w:rPr>
          <w:b/>
          <w:u w:val="single"/>
        </w:rPr>
        <w:t>THREATS:</w:t>
      </w:r>
    </w:p>
    <w:p w:rsidR="009846CC" w:rsidRDefault="009846CC" w:rsidP="009846CC">
      <w:pPr>
        <w:pStyle w:val="EDNormal"/>
        <w:numPr>
          <w:ilvl w:val="0"/>
          <w:numId w:val="2"/>
        </w:numPr>
        <w:tabs>
          <w:tab w:val="clear" w:pos="9000"/>
        </w:tabs>
        <w:ind w:left="1080"/>
        <w:rPr>
          <w:bCs/>
        </w:rPr>
      </w:pPr>
      <w:r w:rsidRPr="00026AE9">
        <w:rPr>
          <w:b/>
        </w:rPr>
        <w:t xml:space="preserve">Increase in Cost of </w:t>
      </w:r>
      <w:r>
        <w:rPr>
          <w:b/>
        </w:rPr>
        <w:t>Conventional Power:</w:t>
      </w:r>
      <w:r>
        <w:rPr>
          <w:bCs/>
        </w:rPr>
        <w:t xml:space="preserve">PED relies on external source of power and the cost of generation has been increasing (primarily due to domestic fuel supply concerns and use of imported coal) which may lead to increase in tariffs for consumers. </w:t>
      </w:r>
      <w:r w:rsidRPr="00170B84">
        <w:rPr>
          <w:bCs/>
        </w:rPr>
        <w:t>Further, the capital cost of new power plants has gone up substantially resulting in higher power tariff from new generating units both under central sector as well as private power generating companies.</w:t>
      </w:r>
      <w:r>
        <w:rPr>
          <w:bCs/>
        </w:rPr>
        <w:t xml:space="preserve"> T</w:t>
      </w:r>
      <w:r w:rsidRPr="00170B84">
        <w:rPr>
          <w:bCs/>
        </w:rPr>
        <w:t xml:space="preserve">his shall cause hardship on its consumers and </w:t>
      </w:r>
      <w:r>
        <w:rPr>
          <w:bCs/>
        </w:rPr>
        <w:t>PED</w:t>
      </w:r>
      <w:r w:rsidRPr="00170B84">
        <w:rPr>
          <w:bCs/>
        </w:rPr>
        <w:t xml:space="preserve"> in no way wants to burden its consumers.</w:t>
      </w:r>
    </w:p>
    <w:p w:rsidR="003F36A6" w:rsidRDefault="003F36A6" w:rsidP="003F36A6">
      <w:pPr>
        <w:pStyle w:val="EDNormal"/>
        <w:tabs>
          <w:tab w:val="clear" w:pos="9000"/>
        </w:tabs>
        <w:ind w:left="1080"/>
        <w:rPr>
          <w:bCs/>
        </w:rPr>
      </w:pPr>
    </w:p>
    <w:p w:rsidR="009846CC" w:rsidRDefault="009846CC" w:rsidP="009846CC">
      <w:pPr>
        <w:pStyle w:val="EDNormal"/>
        <w:numPr>
          <w:ilvl w:val="0"/>
          <w:numId w:val="2"/>
        </w:numPr>
        <w:tabs>
          <w:tab w:val="clear" w:pos="9000"/>
        </w:tabs>
        <w:ind w:left="1080"/>
        <w:rPr>
          <w:bCs/>
        </w:rPr>
      </w:pPr>
      <w:r>
        <w:rPr>
          <w:b/>
        </w:rPr>
        <w:t xml:space="preserve">Reduction of Consumption of </w:t>
      </w:r>
      <w:r w:rsidRPr="00026AE9">
        <w:rPr>
          <w:b/>
        </w:rPr>
        <w:t>Industrial Consumers:</w:t>
      </w:r>
      <w:r w:rsidRPr="00170B84">
        <w:rPr>
          <w:bCs/>
        </w:rPr>
        <w:t xml:space="preserve"> The domestic consumer base has been increasing at a faster pace than the industrial consumer base which may be a cause of concern as decrease in number of high paying consumer’s (cross subsidising consumers) may affect revenue generation for the department. </w:t>
      </w:r>
    </w:p>
    <w:p w:rsidR="003F36A6" w:rsidRDefault="003F36A6" w:rsidP="003F36A6">
      <w:pPr>
        <w:pStyle w:val="ListParagraph"/>
        <w:rPr>
          <w:bCs/>
        </w:rPr>
      </w:pPr>
    </w:p>
    <w:p w:rsidR="009846CC" w:rsidRDefault="009846CC" w:rsidP="009846CC">
      <w:pPr>
        <w:pStyle w:val="EDNormal"/>
        <w:numPr>
          <w:ilvl w:val="0"/>
          <w:numId w:val="2"/>
        </w:numPr>
        <w:tabs>
          <w:tab w:val="clear" w:pos="9000"/>
        </w:tabs>
        <w:ind w:left="1080"/>
        <w:rPr>
          <w:bCs/>
        </w:rPr>
      </w:pPr>
      <w:r>
        <w:rPr>
          <w:b/>
        </w:rPr>
        <w:t>Market Uncertainty</w:t>
      </w:r>
      <w:r w:rsidRPr="00026AE9">
        <w:rPr>
          <w:b/>
        </w:rPr>
        <w:t>:</w:t>
      </w:r>
      <w:r>
        <w:rPr>
          <w:bCs/>
        </w:rPr>
        <w:t>The power sector has been very volatile in the last couple of years. With RE power costs reaching new lows, however projects not getting completed, PPAs being cancelled. Further, the convention thermal generating stations declaring NPAs with the stranded capacities, the future of power availability is uncertain.</w:t>
      </w:r>
    </w:p>
    <w:p w:rsidR="009846CC" w:rsidRPr="00170B84" w:rsidRDefault="009846CC" w:rsidP="009846CC">
      <w:pPr>
        <w:pStyle w:val="EDNormal"/>
        <w:tabs>
          <w:tab w:val="clear" w:pos="9000"/>
        </w:tabs>
        <w:ind w:left="1080"/>
        <w:rPr>
          <w:bCs/>
        </w:rPr>
      </w:pPr>
    </w:p>
    <w:p w:rsidR="00735CAB" w:rsidRDefault="009846CC" w:rsidP="00735CAB">
      <w:pPr>
        <w:pStyle w:val="ED-H3"/>
      </w:pPr>
      <w:r w:rsidRPr="0057683A">
        <w:t xml:space="preserve">The growth path for </w:t>
      </w:r>
      <w:r>
        <w:t>PED</w:t>
      </w:r>
      <w:r w:rsidRPr="0057683A">
        <w:t xml:space="preserve"> would be the key takeaways which have emerged from the SWOT analysis. While, there would be opportunities galore on the horizon, it would be only prudent on part of </w:t>
      </w:r>
      <w:r>
        <w:t>PED</w:t>
      </w:r>
      <w:r w:rsidRPr="0057683A">
        <w:t xml:space="preserve"> to first target the short-comings and overcome them. Simultaneously, it would also be necessary to start identifying areas which it intends to target in the short to medium term and which areas it intends to target in the long term. Targeting everything simultaneously would lead no-where.</w:t>
      </w:r>
    </w:p>
    <w:p w:rsidR="00735CAB" w:rsidRDefault="00735CAB" w:rsidP="00735CAB">
      <w:pPr>
        <w:pStyle w:val="EDNormal"/>
        <w:rPr>
          <w:lang w:val="en-IN" w:bidi="hi-IN"/>
        </w:rPr>
      </w:pPr>
      <w:r>
        <w:rPr>
          <w:lang w:val="en-IN" w:bidi="hi-IN"/>
        </w:rPr>
        <w:br w:type="page"/>
      </w:r>
    </w:p>
    <w:p w:rsidR="009846CC" w:rsidRDefault="009846CC" w:rsidP="009846CC">
      <w:pPr>
        <w:pStyle w:val="ED-H1"/>
      </w:pPr>
      <w:bookmarkStart w:id="75" w:name="_Toc523560502"/>
      <w:bookmarkStart w:id="76" w:name="_Toc523724480"/>
      <w:r>
        <w:lastRenderedPageBreak/>
        <w:t>DEMAND &amp; SALES ASSESSMENT</w:t>
      </w:r>
      <w:bookmarkEnd w:id="75"/>
      <w:bookmarkEnd w:id="76"/>
    </w:p>
    <w:p w:rsidR="009846CC" w:rsidRDefault="009846CC" w:rsidP="009846CC">
      <w:pPr>
        <w:pStyle w:val="EDNormal"/>
      </w:pPr>
    </w:p>
    <w:p w:rsidR="009846CC" w:rsidRPr="008B1FC0" w:rsidRDefault="009846CC" w:rsidP="009846CC">
      <w:pPr>
        <w:pStyle w:val="EDNormal"/>
      </w:pPr>
      <w:r>
        <w:t>Demand and sales a</w:t>
      </w:r>
      <w:r w:rsidRPr="008B1FC0">
        <w:t>ssessment is one of the most important aspects of the distribution business. There are many statistical approaches to project the demand and sales for the future year</w:t>
      </w:r>
      <w:r>
        <w:t>s</w:t>
      </w:r>
      <w:r w:rsidRPr="008B1FC0">
        <w:t xml:space="preserve"> including the crudest form of CAGR method to the most advanced form of end use survey approach. In fact, CEA has been using partial end use method to project demand in different states. However, the technique adopted is mainly dependent of the kind of data that is available, nature of consumption and size of customer category. </w:t>
      </w:r>
    </w:p>
    <w:p w:rsidR="009846CC" w:rsidRPr="008B1FC0" w:rsidRDefault="009846CC" w:rsidP="009846CC">
      <w:pPr>
        <w:pStyle w:val="EDNormal"/>
      </w:pPr>
    </w:p>
    <w:p w:rsidR="009846CC" w:rsidRPr="008B1FC0" w:rsidRDefault="009846CC" w:rsidP="009846CC">
      <w:pPr>
        <w:pStyle w:val="EDNormal"/>
      </w:pPr>
      <w:r w:rsidRPr="008B1FC0">
        <w:t>Further, Demand and Sales Assessment is not a one</w:t>
      </w:r>
      <w:r>
        <w:t>-</w:t>
      </w:r>
      <w:r w:rsidRPr="008B1FC0">
        <w:t>time exercise but needs to be constantly monitored against actual demand and updated for any major development or change</w:t>
      </w:r>
      <w:r>
        <w:t>s</w:t>
      </w:r>
      <w:r w:rsidRPr="008B1FC0">
        <w:t xml:space="preserve"> in other external drivers like policies, regulatory developments, industrial growth, changes in specific industry segments etc. </w:t>
      </w:r>
    </w:p>
    <w:p w:rsidR="009846CC" w:rsidRDefault="009846CC" w:rsidP="009846CC">
      <w:pPr>
        <w:pStyle w:val="EDNormal"/>
      </w:pPr>
    </w:p>
    <w:p w:rsidR="009846CC" w:rsidRDefault="009846CC" w:rsidP="009846CC">
      <w:pPr>
        <w:pStyle w:val="ED-H2"/>
      </w:pPr>
      <w:bookmarkStart w:id="77" w:name="_Toc523560503"/>
      <w:bookmarkStart w:id="78" w:name="_Toc523724481"/>
      <w:r w:rsidRPr="00105F99">
        <w:t>Regulatory Provisions for Sales Forecast</w:t>
      </w:r>
      <w:bookmarkEnd w:id="77"/>
      <w:bookmarkEnd w:id="78"/>
    </w:p>
    <w:p w:rsidR="009846CC" w:rsidRDefault="009846CC" w:rsidP="009846CC">
      <w:pPr>
        <w:pStyle w:val="ED-H3"/>
      </w:pPr>
      <w:r w:rsidRPr="00404EFF">
        <w:t xml:space="preserve">The Commission in the Regulation </w:t>
      </w:r>
      <w:r>
        <w:t>8</w:t>
      </w:r>
      <w:r w:rsidRPr="00404EFF">
        <w:t xml:space="preserve"> of </w:t>
      </w:r>
      <w:r>
        <w:t xml:space="preserve">JERC (Multi Year Tariff) </w:t>
      </w:r>
      <w:r w:rsidRPr="00404EFF">
        <w:t>Regulations</w:t>
      </w:r>
      <w:r>
        <w:t>, 2018</w:t>
      </w:r>
      <w:r w:rsidRPr="00404EFF">
        <w:t xml:space="preserve"> has mentioned </w:t>
      </w:r>
      <w:r>
        <w:t xml:space="preserve">the methodology to be adopted for sales forecast in </w:t>
      </w:r>
      <w:r w:rsidRPr="00404EFF">
        <w:t>business plan</w:t>
      </w:r>
      <w:r>
        <w:t>. T</w:t>
      </w:r>
      <w:r w:rsidRPr="00404EFF">
        <w:t>he rel</w:t>
      </w:r>
      <w:r>
        <w:t xml:space="preserve">evant provisions of the JERC MYT </w:t>
      </w:r>
      <w:r w:rsidRPr="00404EFF">
        <w:t>Tariff Regulations</w:t>
      </w:r>
      <w:r>
        <w:t>, 2018</w:t>
      </w:r>
      <w:r w:rsidRPr="00404EFF">
        <w:t xml:space="preserve"> are extracted for reference as under:</w:t>
      </w:r>
    </w:p>
    <w:p w:rsidR="009846CC" w:rsidRPr="00F26D60" w:rsidRDefault="009846CC" w:rsidP="009846CC">
      <w:pPr>
        <w:pStyle w:val="EDNormal"/>
        <w:ind w:left="1080"/>
        <w:rPr>
          <w:i/>
        </w:rPr>
      </w:pPr>
      <w:r w:rsidRPr="00801873">
        <w:rPr>
          <w:bCs/>
          <w:i/>
        </w:rPr>
        <w:t>“</w:t>
      </w:r>
      <w:r w:rsidRPr="00F26D60">
        <w:rPr>
          <w:i/>
        </w:rPr>
        <w:t>6. Values for Base Year</w:t>
      </w:r>
    </w:p>
    <w:p w:rsidR="009846CC" w:rsidRPr="00F26D60" w:rsidRDefault="009846CC" w:rsidP="009846CC">
      <w:pPr>
        <w:pStyle w:val="EDNormal"/>
        <w:ind w:left="1080"/>
        <w:rPr>
          <w:i/>
        </w:rPr>
      </w:pPr>
      <w:r w:rsidRPr="00F26D60">
        <w:rPr>
          <w:i/>
        </w:rPr>
        <w:t>6.1 The values for the Base Year of the Control Period shall be determined on the basis of the audited accounts or provisional accounts of last three (3) Years, and other factors considered relevant by the Commission:</w:t>
      </w:r>
    </w:p>
    <w:p w:rsidR="009846CC" w:rsidRPr="00F26D60" w:rsidRDefault="009846CC" w:rsidP="009846CC">
      <w:pPr>
        <w:pStyle w:val="EDNormal"/>
        <w:ind w:left="1080"/>
        <w:rPr>
          <w:i/>
        </w:rPr>
      </w:pPr>
      <w:r w:rsidRPr="00F26D60">
        <w:rPr>
          <w:i/>
        </w:rPr>
        <w:t>Provided that, in absence of availability of audited accounts or provisional accounts of last three (3) Years, the Commission may benchmark the parameters with other similar utilities to establish the values for Base Year:</w:t>
      </w:r>
    </w:p>
    <w:p w:rsidR="009846CC" w:rsidRPr="00F26D60" w:rsidRDefault="009846CC" w:rsidP="009846CC">
      <w:pPr>
        <w:pStyle w:val="EDNormal"/>
        <w:ind w:left="1080"/>
        <w:rPr>
          <w:i/>
        </w:rPr>
      </w:pPr>
      <w:r w:rsidRPr="00F26D60">
        <w:rPr>
          <w:i/>
        </w:rPr>
        <w:t>Provided further that the Commission may change the values for Base Year and consequently the trajectory of parameters for Control Period, considering the actual figures from audited accounts.</w:t>
      </w:r>
    </w:p>
    <w:p w:rsidR="009846CC" w:rsidRDefault="009846CC" w:rsidP="009846CC">
      <w:pPr>
        <w:pStyle w:val="EDNormal"/>
        <w:ind w:left="1080"/>
        <w:rPr>
          <w:i/>
        </w:rPr>
      </w:pPr>
      <w:r w:rsidRPr="00F26D60">
        <w:rPr>
          <w:i/>
        </w:rPr>
        <w:t>6.2 The Commission may revisit the performance targets for the Control Period during the Mid-term Review, carried out in accordance with the proviso to Regulation 5.2 (b).</w:t>
      </w:r>
    </w:p>
    <w:p w:rsidR="009846CC" w:rsidRDefault="009846CC" w:rsidP="009846CC">
      <w:pPr>
        <w:pStyle w:val="EDNormal"/>
        <w:ind w:left="1080"/>
        <w:rPr>
          <w:i/>
        </w:rPr>
      </w:pPr>
      <w:r>
        <w:rPr>
          <w:i/>
        </w:rPr>
        <w:t>……….</w:t>
      </w:r>
    </w:p>
    <w:p w:rsidR="009846CC" w:rsidRPr="00F26D60" w:rsidRDefault="009846CC" w:rsidP="009846CC">
      <w:pPr>
        <w:pStyle w:val="EDNormal"/>
        <w:ind w:left="1080"/>
        <w:rPr>
          <w:i/>
        </w:rPr>
      </w:pPr>
      <w:r w:rsidRPr="00F26D60">
        <w:rPr>
          <w:i/>
        </w:rPr>
        <w:t>8.6 Sales Forecast</w:t>
      </w:r>
    </w:p>
    <w:p w:rsidR="009846CC" w:rsidRPr="00F26D60" w:rsidRDefault="009846CC" w:rsidP="009846CC">
      <w:pPr>
        <w:pStyle w:val="EDNormal"/>
        <w:ind w:left="1080"/>
        <w:rPr>
          <w:i/>
        </w:rPr>
      </w:pPr>
      <w:r w:rsidRPr="00F26D60">
        <w:rPr>
          <w:i/>
        </w:rPr>
        <w:t>a) The Distribution Licensee shall forecast sales for each Consumer category and sub-categories, at different voltage levels, for each Year of the Control Period in their Business Plan filings, for the Commission’s review and approval;</w:t>
      </w:r>
    </w:p>
    <w:p w:rsidR="009846CC" w:rsidRPr="00F26D60" w:rsidRDefault="009846CC" w:rsidP="009846CC">
      <w:pPr>
        <w:pStyle w:val="EDNormal"/>
        <w:ind w:left="1080"/>
        <w:rPr>
          <w:i/>
        </w:rPr>
      </w:pPr>
      <w:r w:rsidRPr="00F26D60">
        <w:rPr>
          <w:i/>
        </w:rPr>
        <w:t xml:space="preserve">b) The forecast shall be based on the actual demand of electricity in previous Years, anticipated growth in demand in coming Years, expected growth in the </w:t>
      </w:r>
      <w:r w:rsidRPr="00F26D60">
        <w:rPr>
          <w:i/>
        </w:rPr>
        <w:lastRenderedPageBreak/>
        <w:t>number of Consumers, changes in the pattern of consumption, target distribution losses and other relevant factors;</w:t>
      </w:r>
    </w:p>
    <w:p w:rsidR="009846CC" w:rsidRPr="00801873" w:rsidRDefault="009846CC" w:rsidP="009846CC">
      <w:pPr>
        <w:pStyle w:val="EDNormal"/>
        <w:ind w:left="1080"/>
        <w:rPr>
          <w:bCs/>
          <w:i/>
        </w:rPr>
      </w:pPr>
      <w:r w:rsidRPr="00F26D60">
        <w:rPr>
          <w:i/>
        </w:rPr>
        <w:t>c) The Licensee shall indicate separately the sale of electricity to traders or another Licensee and category wise sales to Open Access Consumers.</w:t>
      </w:r>
      <w:r w:rsidRPr="00801873">
        <w:rPr>
          <w:bCs/>
          <w:i/>
        </w:rPr>
        <w:t>”</w:t>
      </w:r>
    </w:p>
    <w:p w:rsidR="009846CC" w:rsidRDefault="009846CC" w:rsidP="009846CC">
      <w:pPr>
        <w:pStyle w:val="EDNormal"/>
        <w:rPr>
          <w:rFonts w:asciiTheme="minorHAnsi" w:hAnsiTheme="minorHAnsi" w:cstheme="minorHAnsi"/>
          <w:i/>
          <w:iCs/>
          <w:lang w:val="en-US"/>
        </w:rPr>
      </w:pPr>
    </w:p>
    <w:p w:rsidR="009846CC" w:rsidRDefault="009846CC" w:rsidP="009846CC">
      <w:pPr>
        <w:pStyle w:val="ED-H2"/>
      </w:pPr>
      <w:bookmarkStart w:id="79" w:name="_Toc523560504"/>
      <w:bookmarkStart w:id="80" w:name="_Toc523724482"/>
      <w:r w:rsidRPr="006168F8">
        <w:rPr>
          <w:lang w:val="en-GB"/>
        </w:rPr>
        <w:t xml:space="preserve">Approach for </w:t>
      </w:r>
      <w:r>
        <w:rPr>
          <w:lang w:val="en-GB"/>
        </w:rPr>
        <w:t xml:space="preserve">forecast of No. of Consumers, Connected Load and </w:t>
      </w:r>
      <w:r w:rsidRPr="006168F8">
        <w:rPr>
          <w:lang w:val="en-GB"/>
        </w:rPr>
        <w:t xml:space="preserve">Sales for </w:t>
      </w:r>
      <w:r>
        <w:rPr>
          <w:lang w:val="en-GB"/>
        </w:rPr>
        <w:t xml:space="preserve">the </w:t>
      </w:r>
      <w:r w:rsidRPr="006168F8">
        <w:rPr>
          <w:lang w:val="en-GB"/>
        </w:rPr>
        <w:t>Control Period</w:t>
      </w:r>
      <w:bookmarkEnd w:id="79"/>
      <w:bookmarkEnd w:id="80"/>
    </w:p>
    <w:p w:rsidR="009846CC" w:rsidRPr="009A6247" w:rsidRDefault="009846CC" w:rsidP="009846CC">
      <w:pPr>
        <w:pStyle w:val="ED-H3"/>
        <w:rPr>
          <w:bCs w:val="0"/>
        </w:rPr>
      </w:pPr>
      <w:r w:rsidRPr="006168F8">
        <w:t xml:space="preserve">The petitioner has adopted the methodology mentioned by the </w:t>
      </w:r>
      <w:r>
        <w:t>C</w:t>
      </w:r>
      <w:r w:rsidRPr="006168F8">
        <w:t xml:space="preserve">ommission and has taken the </w:t>
      </w:r>
      <w:r>
        <w:t xml:space="preserve">base year as FY 2018-19. The values for the base year have been taken on the basis of audited numbers of FY 2015-16 &amp; FY 2016-17 and unaudited actuals of FY 2017-18. Further, </w:t>
      </w:r>
      <w:r w:rsidRPr="006168F8">
        <w:t xml:space="preserve">compounded annual growth rate (CAGR) of past </w:t>
      </w:r>
      <w:r>
        <w:t>3 years, 4 year and 5</w:t>
      </w:r>
      <w:r w:rsidRPr="006168F8">
        <w:t xml:space="preserve"> years of each consumer category as per actua</w:t>
      </w:r>
      <w:r>
        <w:t>l values</w:t>
      </w:r>
      <w:r w:rsidRPr="006168F8">
        <w:t xml:space="preserve"> has </w:t>
      </w:r>
      <w:r>
        <w:t xml:space="preserve">been </w:t>
      </w:r>
      <w:r w:rsidRPr="006168F8">
        <w:t>forecasted t</w:t>
      </w:r>
      <w:r>
        <w:t xml:space="preserve">o arrive at the figures </w:t>
      </w:r>
      <w:r w:rsidRPr="006168F8">
        <w:t>for the control period FY201</w:t>
      </w:r>
      <w:r>
        <w:t xml:space="preserve">9-20 to </w:t>
      </w:r>
      <w:r w:rsidRPr="006168F8">
        <w:t>FY2</w:t>
      </w:r>
      <w:r>
        <w:t>021-22</w:t>
      </w:r>
      <w:r w:rsidRPr="006168F8">
        <w:t>.</w:t>
      </w:r>
    </w:p>
    <w:p w:rsidR="009846CC" w:rsidRDefault="009846CC" w:rsidP="009846CC">
      <w:pPr>
        <w:pStyle w:val="EDNormal"/>
      </w:pPr>
    </w:p>
    <w:p w:rsidR="009846CC" w:rsidRDefault="009846CC" w:rsidP="009846CC">
      <w:pPr>
        <w:pStyle w:val="ED-H2"/>
        <w:rPr>
          <w:b w:val="0"/>
          <w:lang w:val="en-GB"/>
        </w:rPr>
      </w:pPr>
      <w:bookmarkStart w:id="81" w:name="_Toc523560505"/>
      <w:bookmarkStart w:id="82" w:name="_Toc523724483"/>
      <w:r>
        <w:rPr>
          <w:lang w:val="en-GB"/>
        </w:rPr>
        <w:t>Forecast of No. of Consumers, Connected Load and Sales</w:t>
      </w:r>
      <w:bookmarkEnd w:id="81"/>
      <w:bookmarkEnd w:id="82"/>
    </w:p>
    <w:p w:rsidR="009846CC" w:rsidRDefault="009846CC" w:rsidP="009846CC">
      <w:pPr>
        <w:pStyle w:val="ED-H3"/>
      </w:pPr>
      <w:r>
        <w:t xml:space="preserve">Based </w:t>
      </w:r>
      <w:r w:rsidRPr="00DA193A">
        <w:t>on</w:t>
      </w:r>
      <w:r>
        <w:t xml:space="preserve"> the past data, t</w:t>
      </w:r>
      <w:r w:rsidRPr="00B22D7F">
        <w:t xml:space="preserve">he </w:t>
      </w:r>
      <w:r>
        <w:t>category wise data of audited numbers of FY 2015-16 &amp; FY 2016-17 and unaudited actuals of FY 2017-18, the CAGR of past3 years, 4 year and 5</w:t>
      </w:r>
      <w:r w:rsidRPr="006168F8">
        <w:t xml:space="preserve"> years of each consumer category as per actua</w:t>
      </w:r>
      <w:r>
        <w:t xml:space="preserve">l values are considered </w:t>
      </w:r>
      <w:r w:rsidRPr="00B22D7F">
        <w:t>for the</w:t>
      </w:r>
      <w:r>
        <w:t xml:space="preserve"> projections of no. of consumers for the control period is given in the table below:</w:t>
      </w:r>
    </w:p>
    <w:p w:rsidR="009846CC" w:rsidRPr="009A6247" w:rsidRDefault="009846CC" w:rsidP="009846CC">
      <w:pPr>
        <w:pStyle w:val="EDNormal"/>
        <w:rPr>
          <w:lang w:bidi="hi-IN"/>
        </w:rPr>
      </w:pPr>
    </w:p>
    <w:p w:rsidR="009846CC" w:rsidRDefault="009846CC" w:rsidP="00061AA6">
      <w:pPr>
        <w:pStyle w:val="Caption"/>
      </w:pPr>
      <w:bookmarkStart w:id="83" w:name="_Toc523719569"/>
      <w:r>
        <w:t xml:space="preserve">Table </w:t>
      </w:r>
      <w:r w:rsidR="00140E1B">
        <w:fldChar w:fldCharType="begin"/>
      </w:r>
      <w:r>
        <w:instrText xml:space="preserve"> SEQ Table \* ARABIC </w:instrText>
      </w:r>
      <w:r w:rsidR="00140E1B">
        <w:fldChar w:fldCharType="separate"/>
      </w:r>
      <w:r w:rsidR="004B7EE5">
        <w:rPr>
          <w:noProof/>
        </w:rPr>
        <w:t>10</w:t>
      </w:r>
      <w:r w:rsidR="00140E1B">
        <w:rPr>
          <w:noProof/>
        </w:rPr>
        <w:fldChar w:fldCharType="end"/>
      </w:r>
      <w:r w:rsidRPr="00E57D4A">
        <w:t>: Summary of Category-wise</w:t>
      </w:r>
      <w:r>
        <w:t xml:space="preserve"> No. of Consumers</w:t>
      </w:r>
      <w:r w:rsidRPr="00E57D4A">
        <w:t xml:space="preserve"> Growth</w:t>
      </w:r>
      <w:r>
        <w:t xml:space="preserve"> Rate Considered for Projections</w:t>
      </w:r>
      <w:bookmarkEnd w:id="83"/>
    </w:p>
    <w:tbl>
      <w:tblPr>
        <w:tblW w:w="103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2"/>
        <w:gridCol w:w="1094"/>
        <w:gridCol w:w="1094"/>
        <w:gridCol w:w="1094"/>
        <w:gridCol w:w="1094"/>
        <w:gridCol w:w="1101"/>
        <w:gridCol w:w="821"/>
        <w:gridCol w:w="822"/>
        <w:gridCol w:w="821"/>
        <w:gridCol w:w="938"/>
      </w:tblGrid>
      <w:tr w:rsidR="009846CC" w:rsidRPr="00F6064B" w:rsidTr="00BB7F1F">
        <w:trPr>
          <w:trHeight w:val="304"/>
        </w:trPr>
        <w:tc>
          <w:tcPr>
            <w:tcW w:w="1506" w:type="dxa"/>
            <w:shd w:val="clear" w:color="000000" w:fill="ACB9CA"/>
            <w:noWrap/>
            <w:vAlign w:val="center"/>
            <w:hideMark/>
          </w:tcPr>
          <w:p w:rsidR="009846CC" w:rsidRPr="00F6064B" w:rsidRDefault="009846CC" w:rsidP="00E16426">
            <w:pPr>
              <w:spacing w:line="240" w:lineRule="auto"/>
              <w:jc w:val="center"/>
              <w:rPr>
                <w:b/>
                <w:bCs/>
                <w:sz w:val="22"/>
                <w:szCs w:val="22"/>
                <w:lang w:val="en-IN" w:eastAsia="en-IN"/>
              </w:rPr>
            </w:pPr>
            <w:r w:rsidRPr="00F6064B">
              <w:rPr>
                <w:b/>
                <w:bCs/>
                <w:sz w:val="22"/>
                <w:szCs w:val="22"/>
                <w:lang w:val="en-IN" w:eastAsia="en-IN"/>
              </w:rPr>
              <w:t> </w:t>
            </w:r>
          </w:p>
        </w:tc>
        <w:tc>
          <w:tcPr>
            <w:tcW w:w="5477" w:type="dxa"/>
            <w:gridSpan w:val="5"/>
            <w:shd w:val="clear" w:color="000000" w:fill="ACB9CA"/>
            <w:noWrap/>
            <w:vAlign w:val="center"/>
            <w:hideMark/>
          </w:tcPr>
          <w:p w:rsidR="009846CC" w:rsidRPr="00F6064B" w:rsidRDefault="009846CC" w:rsidP="00E16426">
            <w:pPr>
              <w:spacing w:line="240" w:lineRule="auto"/>
              <w:jc w:val="center"/>
              <w:rPr>
                <w:b/>
                <w:bCs/>
                <w:color w:val="000000"/>
                <w:sz w:val="22"/>
                <w:szCs w:val="22"/>
                <w:lang w:val="en-IN" w:eastAsia="en-IN"/>
              </w:rPr>
            </w:pPr>
            <w:r w:rsidRPr="00F6064B">
              <w:rPr>
                <w:b/>
                <w:bCs/>
                <w:color w:val="000000"/>
                <w:sz w:val="22"/>
                <w:szCs w:val="22"/>
                <w:lang w:val="en-IN" w:eastAsia="en-IN"/>
              </w:rPr>
              <w:t>Actuals</w:t>
            </w:r>
          </w:p>
        </w:tc>
        <w:tc>
          <w:tcPr>
            <w:tcW w:w="3402" w:type="dxa"/>
            <w:gridSpan w:val="4"/>
            <w:shd w:val="clear" w:color="000000" w:fill="ACB9CA"/>
            <w:noWrap/>
            <w:vAlign w:val="center"/>
            <w:hideMark/>
          </w:tcPr>
          <w:p w:rsidR="009846CC" w:rsidRPr="00F6064B" w:rsidRDefault="009846CC" w:rsidP="00E16426">
            <w:pPr>
              <w:spacing w:line="240" w:lineRule="auto"/>
              <w:jc w:val="center"/>
              <w:rPr>
                <w:b/>
                <w:bCs/>
                <w:color w:val="000000"/>
                <w:sz w:val="22"/>
                <w:szCs w:val="22"/>
                <w:lang w:val="en-IN" w:eastAsia="en-IN"/>
              </w:rPr>
            </w:pPr>
            <w:r w:rsidRPr="00F6064B">
              <w:rPr>
                <w:b/>
                <w:bCs/>
                <w:color w:val="000000"/>
                <w:sz w:val="22"/>
                <w:szCs w:val="22"/>
                <w:lang w:val="en-IN" w:eastAsia="en-IN"/>
              </w:rPr>
              <w:t>CAGR</w:t>
            </w:r>
          </w:p>
        </w:tc>
      </w:tr>
      <w:tr w:rsidR="009846CC" w:rsidRPr="00F6064B" w:rsidTr="00BB7F1F">
        <w:trPr>
          <w:trHeight w:val="304"/>
        </w:trPr>
        <w:tc>
          <w:tcPr>
            <w:tcW w:w="1506" w:type="dxa"/>
            <w:shd w:val="clear" w:color="000000" w:fill="ACB9CA"/>
            <w:noWrap/>
            <w:vAlign w:val="center"/>
            <w:hideMark/>
          </w:tcPr>
          <w:p w:rsidR="009846CC" w:rsidRPr="00F6064B" w:rsidRDefault="009846CC" w:rsidP="00E16426">
            <w:pPr>
              <w:spacing w:line="240" w:lineRule="auto"/>
              <w:jc w:val="center"/>
              <w:rPr>
                <w:b/>
                <w:bCs/>
                <w:sz w:val="22"/>
                <w:szCs w:val="22"/>
                <w:lang w:val="en-IN" w:eastAsia="en-IN"/>
              </w:rPr>
            </w:pPr>
            <w:r w:rsidRPr="00F6064B">
              <w:rPr>
                <w:b/>
                <w:bCs/>
                <w:sz w:val="22"/>
                <w:szCs w:val="22"/>
                <w:lang w:val="en-IN" w:eastAsia="en-IN"/>
              </w:rPr>
              <w:t>Consumer Category</w:t>
            </w:r>
          </w:p>
        </w:tc>
        <w:tc>
          <w:tcPr>
            <w:tcW w:w="1094" w:type="dxa"/>
            <w:shd w:val="clear" w:color="000000" w:fill="ACB9CA"/>
            <w:noWrap/>
            <w:vAlign w:val="center"/>
            <w:hideMark/>
          </w:tcPr>
          <w:p w:rsidR="009846CC" w:rsidRPr="00F6064B" w:rsidRDefault="009846CC" w:rsidP="00E16426">
            <w:pPr>
              <w:spacing w:line="240" w:lineRule="auto"/>
              <w:jc w:val="center"/>
              <w:rPr>
                <w:b/>
                <w:bCs/>
                <w:color w:val="000000"/>
                <w:sz w:val="22"/>
                <w:szCs w:val="22"/>
                <w:lang w:val="en-IN" w:eastAsia="en-IN"/>
              </w:rPr>
            </w:pPr>
            <w:r w:rsidRPr="00F6064B">
              <w:rPr>
                <w:b/>
                <w:bCs/>
                <w:color w:val="000000"/>
                <w:sz w:val="22"/>
                <w:szCs w:val="22"/>
                <w:lang w:val="en-IN" w:eastAsia="en-IN"/>
              </w:rPr>
              <w:t>FY 2013-14</w:t>
            </w:r>
          </w:p>
        </w:tc>
        <w:tc>
          <w:tcPr>
            <w:tcW w:w="1094" w:type="dxa"/>
            <w:shd w:val="clear" w:color="000000" w:fill="ACB9CA"/>
            <w:noWrap/>
            <w:vAlign w:val="center"/>
            <w:hideMark/>
          </w:tcPr>
          <w:p w:rsidR="009846CC" w:rsidRPr="00F6064B" w:rsidRDefault="009846CC" w:rsidP="00E16426">
            <w:pPr>
              <w:spacing w:line="240" w:lineRule="auto"/>
              <w:jc w:val="center"/>
              <w:rPr>
                <w:b/>
                <w:bCs/>
                <w:color w:val="000000"/>
                <w:sz w:val="22"/>
                <w:szCs w:val="22"/>
                <w:lang w:val="en-IN" w:eastAsia="en-IN"/>
              </w:rPr>
            </w:pPr>
            <w:r w:rsidRPr="00F6064B">
              <w:rPr>
                <w:b/>
                <w:bCs/>
                <w:color w:val="000000"/>
                <w:sz w:val="22"/>
                <w:szCs w:val="22"/>
                <w:lang w:val="en-IN" w:eastAsia="en-IN"/>
              </w:rPr>
              <w:t>FY 2014-15</w:t>
            </w:r>
          </w:p>
        </w:tc>
        <w:tc>
          <w:tcPr>
            <w:tcW w:w="1094" w:type="dxa"/>
            <w:shd w:val="clear" w:color="000000" w:fill="ACB9CA"/>
            <w:noWrap/>
            <w:vAlign w:val="center"/>
            <w:hideMark/>
          </w:tcPr>
          <w:p w:rsidR="009846CC" w:rsidRPr="00F6064B" w:rsidRDefault="009846CC" w:rsidP="00E16426">
            <w:pPr>
              <w:spacing w:line="240" w:lineRule="auto"/>
              <w:jc w:val="center"/>
              <w:rPr>
                <w:b/>
                <w:bCs/>
                <w:color w:val="000000"/>
                <w:sz w:val="22"/>
                <w:szCs w:val="22"/>
                <w:lang w:val="en-IN" w:eastAsia="en-IN"/>
              </w:rPr>
            </w:pPr>
            <w:r w:rsidRPr="00F6064B">
              <w:rPr>
                <w:b/>
                <w:bCs/>
                <w:color w:val="000000"/>
                <w:sz w:val="22"/>
                <w:szCs w:val="22"/>
                <w:lang w:val="en-IN" w:eastAsia="en-IN"/>
              </w:rPr>
              <w:t>FY 2015-16</w:t>
            </w:r>
          </w:p>
        </w:tc>
        <w:tc>
          <w:tcPr>
            <w:tcW w:w="1094" w:type="dxa"/>
            <w:shd w:val="clear" w:color="000000" w:fill="ACB9CA"/>
            <w:noWrap/>
            <w:vAlign w:val="center"/>
            <w:hideMark/>
          </w:tcPr>
          <w:p w:rsidR="009846CC" w:rsidRPr="00F6064B" w:rsidRDefault="009846CC" w:rsidP="00E16426">
            <w:pPr>
              <w:spacing w:line="240" w:lineRule="auto"/>
              <w:jc w:val="center"/>
              <w:rPr>
                <w:b/>
                <w:bCs/>
                <w:color w:val="000000"/>
                <w:sz w:val="22"/>
                <w:szCs w:val="22"/>
                <w:lang w:val="en-IN" w:eastAsia="en-IN"/>
              </w:rPr>
            </w:pPr>
            <w:r w:rsidRPr="00F6064B">
              <w:rPr>
                <w:b/>
                <w:bCs/>
                <w:color w:val="000000"/>
                <w:sz w:val="22"/>
                <w:szCs w:val="22"/>
                <w:lang w:val="en-IN" w:eastAsia="en-IN"/>
              </w:rPr>
              <w:t>FY 2016-17</w:t>
            </w:r>
          </w:p>
        </w:tc>
        <w:tc>
          <w:tcPr>
            <w:tcW w:w="1097" w:type="dxa"/>
            <w:shd w:val="clear" w:color="000000" w:fill="ACB9CA"/>
            <w:noWrap/>
            <w:vAlign w:val="center"/>
            <w:hideMark/>
          </w:tcPr>
          <w:p w:rsidR="009846CC" w:rsidRPr="00F6064B" w:rsidRDefault="009846CC" w:rsidP="00E16426">
            <w:pPr>
              <w:spacing w:line="240" w:lineRule="auto"/>
              <w:jc w:val="center"/>
              <w:rPr>
                <w:b/>
                <w:bCs/>
                <w:color w:val="000000"/>
                <w:sz w:val="22"/>
                <w:szCs w:val="22"/>
                <w:lang w:val="en-IN" w:eastAsia="en-IN"/>
              </w:rPr>
            </w:pPr>
            <w:r w:rsidRPr="00F6064B">
              <w:rPr>
                <w:b/>
                <w:bCs/>
                <w:color w:val="000000"/>
                <w:sz w:val="22"/>
                <w:szCs w:val="22"/>
                <w:lang w:val="en-IN" w:eastAsia="en-IN"/>
              </w:rPr>
              <w:t>FY 2017-18</w:t>
            </w:r>
          </w:p>
        </w:tc>
        <w:tc>
          <w:tcPr>
            <w:tcW w:w="821" w:type="dxa"/>
            <w:shd w:val="clear" w:color="000000" w:fill="ACB9CA"/>
            <w:noWrap/>
            <w:vAlign w:val="center"/>
            <w:hideMark/>
          </w:tcPr>
          <w:p w:rsidR="009846CC" w:rsidRPr="00F6064B" w:rsidRDefault="009846CC" w:rsidP="00E16426">
            <w:pPr>
              <w:spacing w:line="240" w:lineRule="auto"/>
              <w:jc w:val="center"/>
              <w:rPr>
                <w:b/>
                <w:bCs/>
                <w:color w:val="000000"/>
                <w:sz w:val="22"/>
                <w:szCs w:val="22"/>
                <w:lang w:val="en-IN" w:eastAsia="en-IN"/>
              </w:rPr>
            </w:pPr>
            <w:r w:rsidRPr="00F6064B">
              <w:rPr>
                <w:b/>
                <w:bCs/>
                <w:color w:val="000000"/>
                <w:sz w:val="22"/>
                <w:szCs w:val="22"/>
                <w:lang w:val="en-IN" w:eastAsia="en-IN"/>
              </w:rPr>
              <w:t>3 year</w:t>
            </w:r>
          </w:p>
        </w:tc>
        <w:tc>
          <w:tcPr>
            <w:tcW w:w="822" w:type="dxa"/>
            <w:shd w:val="clear" w:color="000000" w:fill="ACB9CA"/>
            <w:noWrap/>
            <w:vAlign w:val="center"/>
            <w:hideMark/>
          </w:tcPr>
          <w:p w:rsidR="009846CC" w:rsidRPr="00F6064B" w:rsidRDefault="009846CC" w:rsidP="00E16426">
            <w:pPr>
              <w:spacing w:line="240" w:lineRule="auto"/>
              <w:jc w:val="center"/>
              <w:rPr>
                <w:b/>
                <w:bCs/>
                <w:color w:val="000000"/>
                <w:sz w:val="22"/>
                <w:szCs w:val="22"/>
                <w:lang w:val="en-IN" w:eastAsia="en-IN"/>
              </w:rPr>
            </w:pPr>
            <w:r w:rsidRPr="00F6064B">
              <w:rPr>
                <w:b/>
                <w:bCs/>
                <w:color w:val="000000"/>
                <w:sz w:val="22"/>
                <w:szCs w:val="22"/>
                <w:lang w:val="en-IN" w:eastAsia="en-IN"/>
              </w:rPr>
              <w:t>4 year</w:t>
            </w:r>
          </w:p>
        </w:tc>
        <w:tc>
          <w:tcPr>
            <w:tcW w:w="821" w:type="dxa"/>
            <w:shd w:val="clear" w:color="000000" w:fill="ACB9CA"/>
            <w:noWrap/>
            <w:vAlign w:val="center"/>
            <w:hideMark/>
          </w:tcPr>
          <w:p w:rsidR="009846CC" w:rsidRPr="00F6064B" w:rsidRDefault="009846CC" w:rsidP="00E16426">
            <w:pPr>
              <w:spacing w:line="240" w:lineRule="auto"/>
              <w:jc w:val="center"/>
              <w:rPr>
                <w:b/>
                <w:bCs/>
                <w:color w:val="000000"/>
                <w:sz w:val="22"/>
                <w:szCs w:val="22"/>
                <w:lang w:val="en-IN" w:eastAsia="en-IN"/>
              </w:rPr>
            </w:pPr>
            <w:r w:rsidRPr="00F6064B">
              <w:rPr>
                <w:b/>
                <w:bCs/>
                <w:color w:val="000000"/>
                <w:sz w:val="22"/>
                <w:szCs w:val="22"/>
                <w:lang w:val="en-IN" w:eastAsia="en-IN"/>
              </w:rPr>
              <w:t>5 year</w:t>
            </w:r>
          </w:p>
        </w:tc>
        <w:tc>
          <w:tcPr>
            <w:tcW w:w="938" w:type="dxa"/>
            <w:shd w:val="clear" w:color="000000" w:fill="ACB9CA"/>
            <w:noWrap/>
            <w:vAlign w:val="center"/>
            <w:hideMark/>
          </w:tcPr>
          <w:p w:rsidR="009846CC" w:rsidRDefault="009846CC" w:rsidP="00E16426">
            <w:pPr>
              <w:spacing w:line="240" w:lineRule="auto"/>
              <w:jc w:val="center"/>
              <w:rPr>
                <w:b/>
                <w:bCs/>
                <w:color w:val="000000"/>
                <w:sz w:val="22"/>
                <w:szCs w:val="22"/>
                <w:lang w:val="en-IN" w:eastAsia="en-IN"/>
              </w:rPr>
            </w:pPr>
            <w:r w:rsidRPr="00F6064B">
              <w:rPr>
                <w:b/>
                <w:bCs/>
                <w:color w:val="000000"/>
                <w:sz w:val="22"/>
                <w:szCs w:val="22"/>
                <w:lang w:val="en-IN" w:eastAsia="en-IN"/>
              </w:rPr>
              <w:t xml:space="preserve">CAGR </w:t>
            </w:r>
            <w:r>
              <w:rPr>
                <w:b/>
                <w:bCs/>
                <w:color w:val="000000"/>
                <w:sz w:val="22"/>
                <w:szCs w:val="22"/>
                <w:lang w:val="en-IN" w:eastAsia="en-IN"/>
              </w:rPr>
              <w:t>c</w:t>
            </w:r>
            <w:r w:rsidRPr="00F6064B">
              <w:rPr>
                <w:b/>
                <w:bCs/>
                <w:color w:val="000000"/>
                <w:sz w:val="22"/>
                <w:szCs w:val="22"/>
                <w:lang w:val="en-IN" w:eastAsia="en-IN"/>
              </w:rPr>
              <w:t>onside</w:t>
            </w:r>
          </w:p>
          <w:p w:rsidR="009846CC" w:rsidRPr="00F6064B" w:rsidRDefault="009846CC" w:rsidP="00E16426">
            <w:pPr>
              <w:spacing w:line="240" w:lineRule="auto"/>
              <w:jc w:val="center"/>
              <w:rPr>
                <w:b/>
                <w:bCs/>
                <w:color w:val="000000"/>
                <w:sz w:val="22"/>
                <w:szCs w:val="22"/>
                <w:lang w:val="en-IN" w:eastAsia="en-IN"/>
              </w:rPr>
            </w:pPr>
            <w:r w:rsidRPr="00F6064B">
              <w:rPr>
                <w:b/>
                <w:bCs/>
                <w:color w:val="000000"/>
                <w:sz w:val="22"/>
                <w:szCs w:val="22"/>
                <w:lang w:val="en-IN" w:eastAsia="en-IN"/>
              </w:rPr>
              <w:t>red</w:t>
            </w:r>
          </w:p>
        </w:tc>
      </w:tr>
      <w:tr w:rsidR="009846CC" w:rsidRPr="00F6064B" w:rsidTr="00BB7F1F">
        <w:trPr>
          <w:trHeight w:val="304"/>
        </w:trPr>
        <w:tc>
          <w:tcPr>
            <w:tcW w:w="1506" w:type="dxa"/>
            <w:shd w:val="clear" w:color="auto" w:fill="auto"/>
            <w:noWrap/>
            <w:vAlign w:val="center"/>
            <w:hideMark/>
          </w:tcPr>
          <w:p w:rsidR="009846CC" w:rsidRPr="00F6064B" w:rsidRDefault="009846CC" w:rsidP="00E16426">
            <w:pPr>
              <w:spacing w:line="240" w:lineRule="auto"/>
              <w:jc w:val="left"/>
              <w:rPr>
                <w:color w:val="000000"/>
                <w:sz w:val="22"/>
                <w:szCs w:val="22"/>
                <w:lang w:val="en-IN" w:eastAsia="en-IN"/>
              </w:rPr>
            </w:pPr>
            <w:r w:rsidRPr="00F6064B">
              <w:rPr>
                <w:color w:val="000000"/>
                <w:sz w:val="22"/>
                <w:szCs w:val="22"/>
                <w:lang w:val="en-IN" w:eastAsia="en-IN"/>
              </w:rPr>
              <w:t>Domestic</w:t>
            </w:r>
          </w:p>
        </w:tc>
        <w:tc>
          <w:tcPr>
            <w:tcW w:w="1094" w:type="dxa"/>
            <w:shd w:val="clear" w:color="auto" w:fill="auto"/>
            <w:noWrap/>
            <w:vAlign w:val="bottom"/>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272198</w:t>
            </w:r>
          </w:p>
        </w:tc>
        <w:tc>
          <w:tcPr>
            <w:tcW w:w="1094" w:type="dxa"/>
            <w:shd w:val="clear" w:color="auto" w:fill="auto"/>
            <w:noWrap/>
            <w:vAlign w:val="bottom"/>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286495</w:t>
            </w:r>
          </w:p>
        </w:tc>
        <w:tc>
          <w:tcPr>
            <w:tcW w:w="1094" w:type="dxa"/>
            <w:shd w:val="clear" w:color="auto" w:fill="auto"/>
            <w:noWrap/>
            <w:vAlign w:val="bottom"/>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306385</w:t>
            </w:r>
          </w:p>
        </w:tc>
        <w:tc>
          <w:tcPr>
            <w:tcW w:w="1094" w:type="dxa"/>
            <w:shd w:val="clear" w:color="auto" w:fill="auto"/>
            <w:noWrap/>
            <w:vAlign w:val="bottom"/>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313367</w:t>
            </w:r>
          </w:p>
        </w:tc>
        <w:tc>
          <w:tcPr>
            <w:tcW w:w="1097" w:type="dxa"/>
            <w:shd w:val="clear" w:color="auto" w:fill="auto"/>
            <w:noWrap/>
            <w:vAlign w:val="bottom"/>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325845</w:t>
            </w:r>
          </w:p>
        </w:tc>
        <w:tc>
          <w:tcPr>
            <w:tcW w:w="821" w:type="dxa"/>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3.13%</w:t>
            </w:r>
          </w:p>
        </w:tc>
        <w:tc>
          <w:tcPr>
            <w:tcW w:w="822" w:type="dxa"/>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4.38%</w:t>
            </w:r>
          </w:p>
        </w:tc>
        <w:tc>
          <w:tcPr>
            <w:tcW w:w="821" w:type="dxa"/>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4.60%</w:t>
            </w:r>
          </w:p>
        </w:tc>
        <w:tc>
          <w:tcPr>
            <w:tcW w:w="938" w:type="dxa"/>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4.60%</w:t>
            </w:r>
          </w:p>
        </w:tc>
      </w:tr>
      <w:tr w:rsidR="009846CC" w:rsidRPr="00F6064B" w:rsidTr="00BB7F1F">
        <w:trPr>
          <w:trHeight w:val="304"/>
        </w:trPr>
        <w:tc>
          <w:tcPr>
            <w:tcW w:w="1506" w:type="dxa"/>
            <w:shd w:val="clear" w:color="auto" w:fill="auto"/>
            <w:noWrap/>
            <w:vAlign w:val="center"/>
            <w:hideMark/>
          </w:tcPr>
          <w:p w:rsidR="009846CC" w:rsidRPr="00F6064B" w:rsidRDefault="009846CC" w:rsidP="00E16426">
            <w:pPr>
              <w:spacing w:line="240" w:lineRule="auto"/>
              <w:jc w:val="left"/>
              <w:rPr>
                <w:color w:val="000000"/>
                <w:sz w:val="22"/>
                <w:szCs w:val="22"/>
                <w:lang w:val="en-IN" w:eastAsia="en-IN"/>
              </w:rPr>
            </w:pPr>
            <w:r w:rsidRPr="00F6064B">
              <w:rPr>
                <w:color w:val="000000"/>
                <w:sz w:val="22"/>
                <w:szCs w:val="22"/>
                <w:lang w:val="en-IN" w:eastAsia="en-IN"/>
              </w:rPr>
              <w:t>OHOB</w:t>
            </w:r>
          </w:p>
        </w:tc>
        <w:tc>
          <w:tcPr>
            <w:tcW w:w="1094" w:type="dxa"/>
            <w:shd w:val="clear" w:color="auto" w:fill="auto"/>
            <w:noWrap/>
            <w:vAlign w:val="bottom"/>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35537</w:t>
            </w:r>
          </w:p>
        </w:tc>
        <w:tc>
          <w:tcPr>
            <w:tcW w:w="1094" w:type="dxa"/>
            <w:shd w:val="clear" w:color="auto" w:fill="auto"/>
            <w:noWrap/>
            <w:vAlign w:val="bottom"/>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35539</w:t>
            </w:r>
          </w:p>
        </w:tc>
        <w:tc>
          <w:tcPr>
            <w:tcW w:w="1094" w:type="dxa"/>
            <w:shd w:val="clear" w:color="auto" w:fill="auto"/>
            <w:noWrap/>
            <w:vAlign w:val="bottom"/>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35539</w:t>
            </w:r>
          </w:p>
        </w:tc>
        <w:tc>
          <w:tcPr>
            <w:tcW w:w="1094" w:type="dxa"/>
            <w:shd w:val="clear" w:color="auto" w:fill="auto"/>
            <w:noWrap/>
            <w:vAlign w:val="bottom"/>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35539</w:t>
            </w:r>
          </w:p>
        </w:tc>
        <w:tc>
          <w:tcPr>
            <w:tcW w:w="1097" w:type="dxa"/>
            <w:shd w:val="clear" w:color="auto" w:fill="auto"/>
            <w:noWrap/>
            <w:vAlign w:val="bottom"/>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35537</w:t>
            </w:r>
          </w:p>
        </w:tc>
        <w:tc>
          <w:tcPr>
            <w:tcW w:w="821" w:type="dxa"/>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0.00%</w:t>
            </w:r>
          </w:p>
        </w:tc>
        <w:tc>
          <w:tcPr>
            <w:tcW w:w="822" w:type="dxa"/>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0.00%</w:t>
            </w:r>
          </w:p>
        </w:tc>
        <w:tc>
          <w:tcPr>
            <w:tcW w:w="821" w:type="dxa"/>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0.00%</w:t>
            </w:r>
          </w:p>
        </w:tc>
        <w:tc>
          <w:tcPr>
            <w:tcW w:w="938" w:type="dxa"/>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0.00%</w:t>
            </w:r>
          </w:p>
        </w:tc>
      </w:tr>
      <w:tr w:rsidR="009846CC" w:rsidRPr="00F6064B" w:rsidTr="00BB7F1F">
        <w:trPr>
          <w:trHeight w:val="304"/>
        </w:trPr>
        <w:tc>
          <w:tcPr>
            <w:tcW w:w="1506" w:type="dxa"/>
            <w:shd w:val="clear" w:color="auto" w:fill="auto"/>
            <w:noWrap/>
            <w:vAlign w:val="center"/>
            <w:hideMark/>
          </w:tcPr>
          <w:p w:rsidR="009846CC" w:rsidRPr="00F6064B" w:rsidRDefault="009846CC" w:rsidP="00E16426">
            <w:pPr>
              <w:spacing w:line="240" w:lineRule="auto"/>
              <w:jc w:val="left"/>
              <w:rPr>
                <w:color w:val="000000"/>
                <w:sz w:val="22"/>
                <w:szCs w:val="22"/>
                <w:lang w:val="en-IN" w:eastAsia="en-IN"/>
              </w:rPr>
            </w:pPr>
            <w:r w:rsidRPr="00F6064B">
              <w:rPr>
                <w:color w:val="000000"/>
                <w:sz w:val="22"/>
                <w:szCs w:val="22"/>
                <w:lang w:val="en-IN" w:eastAsia="en-IN"/>
              </w:rPr>
              <w:t>Commercial</w:t>
            </w:r>
          </w:p>
        </w:tc>
        <w:tc>
          <w:tcPr>
            <w:tcW w:w="1094" w:type="dxa"/>
            <w:shd w:val="clear" w:color="auto" w:fill="auto"/>
            <w:noWrap/>
            <w:vAlign w:val="bottom"/>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45311</w:t>
            </w:r>
          </w:p>
        </w:tc>
        <w:tc>
          <w:tcPr>
            <w:tcW w:w="1094" w:type="dxa"/>
            <w:shd w:val="clear" w:color="auto" w:fill="auto"/>
            <w:noWrap/>
            <w:vAlign w:val="bottom"/>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46938</w:t>
            </w:r>
          </w:p>
        </w:tc>
        <w:tc>
          <w:tcPr>
            <w:tcW w:w="1094" w:type="dxa"/>
            <w:shd w:val="clear" w:color="auto" w:fill="auto"/>
            <w:noWrap/>
            <w:vAlign w:val="bottom"/>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51674</w:t>
            </w:r>
          </w:p>
        </w:tc>
        <w:tc>
          <w:tcPr>
            <w:tcW w:w="1094" w:type="dxa"/>
            <w:shd w:val="clear" w:color="auto" w:fill="auto"/>
            <w:noWrap/>
            <w:vAlign w:val="bottom"/>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52087</w:t>
            </w:r>
          </w:p>
        </w:tc>
        <w:tc>
          <w:tcPr>
            <w:tcW w:w="1097" w:type="dxa"/>
            <w:shd w:val="clear" w:color="auto" w:fill="auto"/>
            <w:noWrap/>
            <w:vAlign w:val="bottom"/>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53962</w:t>
            </w:r>
          </w:p>
        </w:tc>
        <w:tc>
          <w:tcPr>
            <w:tcW w:w="821" w:type="dxa"/>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2.19%</w:t>
            </w:r>
          </w:p>
        </w:tc>
        <w:tc>
          <w:tcPr>
            <w:tcW w:w="822" w:type="dxa"/>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4.76%</w:t>
            </w:r>
          </w:p>
        </w:tc>
        <w:tc>
          <w:tcPr>
            <w:tcW w:w="821" w:type="dxa"/>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4.47%</w:t>
            </w:r>
          </w:p>
        </w:tc>
        <w:tc>
          <w:tcPr>
            <w:tcW w:w="938" w:type="dxa"/>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4.47%</w:t>
            </w:r>
          </w:p>
        </w:tc>
      </w:tr>
      <w:tr w:rsidR="009846CC" w:rsidRPr="00F6064B" w:rsidTr="00BB7F1F">
        <w:trPr>
          <w:trHeight w:val="304"/>
        </w:trPr>
        <w:tc>
          <w:tcPr>
            <w:tcW w:w="1506" w:type="dxa"/>
            <w:shd w:val="clear" w:color="auto" w:fill="auto"/>
            <w:noWrap/>
            <w:vAlign w:val="center"/>
            <w:hideMark/>
          </w:tcPr>
          <w:p w:rsidR="009846CC" w:rsidRPr="00F6064B" w:rsidRDefault="009846CC" w:rsidP="00E16426">
            <w:pPr>
              <w:spacing w:line="240" w:lineRule="auto"/>
              <w:jc w:val="left"/>
              <w:rPr>
                <w:color w:val="000000"/>
                <w:sz w:val="22"/>
                <w:szCs w:val="22"/>
                <w:lang w:val="en-IN" w:eastAsia="en-IN"/>
              </w:rPr>
            </w:pPr>
            <w:r w:rsidRPr="00F6064B">
              <w:rPr>
                <w:color w:val="000000"/>
                <w:sz w:val="22"/>
                <w:szCs w:val="22"/>
                <w:lang w:val="en-IN" w:eastAsia="en-IN"/>
              </w:rPr>
              <w:t>Agriculture</w:t>
            </w:r>
          </w:p>
        </w:tc>
        <w:tc>
          <w:tcPr>
            <w:tcW w:w="1094" w:type="dxa"/>
            <w:shd w:val="clear" w:color="auto" w:fill="auto"/>
            <w:noWrap/>
            <w:vAlign w:val="bottom"/>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6810</w:t>
            </w:r>
          </w:p>
        </w:tc>
        <w:tc>
          <w:tcPr>
            <w:tcW w:w="1094" w:type="dxa"/>
            <w:shd w:val="clear" w:color="auto" w:fill="auto"/>
            <w:noWrap/>
            <w:vAlign w:val="bottom"/>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6849</w:t>
            </w:r>
          </w:p>
        </w:tc>
        <w:tc>
          <w:tcPr>
            <w:tcW w:w="1094" w:type="dxa"/>
            <w:shd w:val="clear" w:color="auto" w:fill="auto"/>
            <w:noWrap/>
            <w:vAlign w:val="bottom"/>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6854</w:t>
            </w:r>
          </w:p>
        </w:tc>
        <w:tc>
          <w:tcPr>
            <w:tcW w:w="1094" w:type="dxa"/>
            <w:shd w:val="clear" w:color="auto" w:fill="auto"/>
            <w:noWrap/>
            <w:vAlign w:val="bottom"/>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6900</w:t>
            </w:r>
          </w:p>
        </w:tc>
        <w:tc>
          <w:tcPr>
            <w:tcW w:w="1097" w:type="dxa"/>
            <w:shd w:val="clear" w:color="auto" w:fill="auto"/>
            <w:noWrap/>
            <w:vAlign w:val="bottom"/>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6940</w:t>
            </w:r>
          </w:p>
        </w:tc>
        <w:tc>
          <w:tcPr>
            <w:tcW w:w="821" w:type="dxa"/>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0.63%</w:t>
            </w:r>
          </w:p>
        </w:tc>
        <w:tc>
          <w:tcPr>
            <w:tcW w:w="822" w:type="dxa"/>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0.44%</w:t>
            </w:r>
          </w:p>
        </w:tc>
        <w:tc>
          <w:tcPr>
            <w:tcW w:w="821" w:type="dxa"/>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0.47%</w:t>
            </w:r>
          </w:p>
        </w:tc>
        <w:tc>
          <w:tcPr>
            <w:tcW w:w="938" w:type="dxa"/>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0.47%</w:t>
            </w:r>
          </w:p>
        </w:tc>
      </w:tr>
      <w:tr w:rsidR="009846CC" w:rsidRPr="00F6064B" w:rsidTr="00BB7F1F">
        <w:trPr>
          <w:trHeight w:val="304"/>
        </w:trPr>
        <w:tc>
          <w:tcPr>
            <w:tcW w:w="1506" w:type="dxa"/>
            <w:shd w:val="clear" w:color="auto" w:fill="auto"/>
            <w:noWrap/>
            <w:vAlign w:val="center"/>
            <w:hideMark/>
          </w:tcPr>
          <w:p w:rsidR="009846CC" w:rsidRPr="00F6064B" w:rsidRDefault="009846CC" w:rsidP="00E16426">
            <w:pPr>
              <w:spacing w:line="240" w:lineRule="auto"/>
              <w:jc w:val="left"/>
              <w:rPr>
                <w:color w:val="000000"/>
                <w:sz w:val="22"/>
                <w:szCs w:val="22"/>
                <w:lang w:val="en-IN" w:eastAsia="en-IN"/>
              </w:rPr>
            </w:pPr>
            <w:r w:rsidRPr="00F6064B">
              <w:rPr>
                <w:color w:val="000000"/>
                <w:sz w:val="22"/>
                <w:szCs w:val="22"/>
                <w:lang w:val="en-IN" w:eastAsia="en-IN"/>
              </w:rPr>
              <w:t>Street lighting</w:t>
            </w:r>
          </w:p>
        </w:tc>
        <w:tc>
          <w:tcPr>
            <w:tcW w:w="1094" w:type="dxa"/>
            <w:shd w:val="clear" w:color="auto" w:fill="auto"/>
            <w:noWrap/>
            <w:vAlign w:val="bottom"/>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49524</w:t>
            </w:r>
          </w:p>
        </w:tc>
        <w:tc>
          <w:tcPr>
            <w:tcW w:w="1094" w:type="dxa"/>
            <w:shd w:val="clear" w:color="auto" w:fill="auto"/>
            <w:noWrap/>
            <w:vAlign w:val="bottom"/>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49893</w:t>
            </w:r>
          </w:p>
        </w:tc>
        <w:tc>
          <w:tcPr>
            <w:tcW w:w="1094" w:type="dxa"/>
            <w:shd w:val="clear" w:color="auto" w:fill="auto"/>
            <w:noWrap/>
            <w:vAlign w:val="bottom"/>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50055</w:t>
            </w:r>
          </w:p>
        </w:tc>
        <w:tc>
          <w:tcPr>
            <w:tcW w:w="1094" w:type="dxa"/>
            <w:shd w:val="clear" w:color="auto" w:fill="auto"/>
            <w:noWrap/>
            <w:vAlign w:val="bottom"/>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50250</w:t>
            </w:r>
          </w:p>
        </w:tc>
        <w:tc>
          <w:tcPr>
            <w:tcW w:w="1097" w:type="dxa"/>
            <w:shd w:val="clear" w:color="auto" w:fill="auto"/>
            <w:noWrap/>
            <w:vAlign w:val="bottom"/>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50434</w:t>
            </w:r>
          </w:p>
        </w:tc>
        <w:tc>
          <w:tcPr>
            <w:tcW w:w="821" w:type="dxa"/>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0.38%</w:t>
            </w:r>
          </w:p>
        </w:tc>
        <w:tc>
          <w:tcPr>
            <w:tcW w:w="822" w:type="dxa"/>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0.36%</w:t>
            </w:r>
          </w:p>
        </w:tc>
        <w:tc>
          <w:tcPr>
            <w:tcW w:w="821" w:type="dxa"/>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0.46%</w:t>
            </w:r>
          </w:p>
        </w:tc>
        <w:tc>
          <w:tcPr>
            <w:tcW w:w="938" w:type="dxa"/>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0.46%</w:t>
            </w:r>
          </w:p>
        </w:tc>
      </w:tr>
      <w:tr w:rsidR="009846CC" w:rsidRPr="00F6064B" w:rsidTr="00BB7F1F">
        <w:trPr>
          <w:trHeight w:val="304"/>
        </w:trPr>
        <w:tc>
          <w:tcPr>
            <w:tcW w:w="1506" w:type="dxa"/>
            <w:shd w:val="clear" w:color="auto" w:fill="auto"/>
            <w:noWrap/>
            <w:vAlign w:val="center"/>
            <w:hideMark/>
          </w:tcPr>
          <w:p w:rsidR="009846CC" w:rsidRPr="00F6064B" w:rsidRDefault="009846CC" w:rsidP="00E16426">
            <w:pPr>
              <w:spacing w:line="240" w:lineRule="auto"/>
              <w:jc w:val="left"/>
              <w:rPr>
                <w:color w:val="000000"/>
                <w:sz w:val="22"/>
                <w:szCs w:val="22"/>
                <w:lang w:val="en-IN" w:eastAsia="en-IN"/>
              </w:rPr>
            </w:pPr>
            <w:r w:rsidRPr="00F6064B">
              <w:rPr>
                <w:color w:val="000000"/>
                <w:sz w:val="22"/>
                <w:szCs w:val="22"/>
                <w:lang w:val="en-IN" w:eastAsia="en-IN"/>
              </w:rPr>
              <w:t>LT Industrial+Water tank</w:t>
            </w:r>
          </w:p>
        </w:tc>
        <w:tc>
          <w:tcPr>
            <w:tcW w:w="1094" w:type="dxa"/>
            <w:shd w:val="clear" w:color="auto" w:fill="auto"/>
            <w:noWrap/>
            <w:vAlign w:val="bottom"/>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6338</w:t>
            </w:r>
          </w:p>
        </w:tc>
        <w:tc>
          <w:tcPr>
            <w:tcW w:w="1094" w:type="dxa"/>
            <w:shd w:val="clear" w:color="auto" w:fill="auto"/>
            <w:noWrap/>
            <w:vAlign w:val="bottom"/>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6423</w:t>
            </w:r>
          </w:p>
        </w:tc>
        <w:tc>
          <w:tcPr>
            <w:tcW w:w="1094" w:type="dxa"/>
            <w:shd w:val="clear" w:color="auto" w:fill="auto"/>
            <w:noWrap/>
            <w:vAlign w:val="bottom"/>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6556</w:t>
            </w:r>
          </w:p>
        </w:tc>
        <w:tc>
          <w:tcPr>
            <w:tcW w:w="1094" w:type="dxa"/>
            <w:shd w:val="clear" w:color="auto" w:fill="auto"/>
            <w:noWrap/>
            <w:vAlign w:val="bottom"/>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6616</w:t>
            </w:r>
          </w:p>
        </w:tc>
        <w:tc>
          <w:tcPr>
            <w:tcW w:w="1097" w:type="dxa"/>
            <w:shd w:val="clear" w:color="auto" w:fill="auto"/>
            <w:noWrap/>
            <w:vAlign w:val="bottom"/>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6668</w:t>
            </w:r>
          </w:p>
        </w:tc>
        <w:tc>
          <w:tcPr>
            <w:tcW w:w="821" w:type="dxa"/>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0.85%</w:t>
            </w:r>
          </w:p>
        </w:tc>
        <w:tc>
          <w:tcPr>
            <w:tcW w:w="822" w:type="dxa"/>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1.26%</w:t>
            </w:r>
          </w:p>
        </w:tc>
        <w:tc>
          <w:tcPr>
            <w:tcW w:w="821" w:type="dxa"/>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1.28%</w:t>
            </w:r>
          </w:p>
        </w:tc>
        <w:tc>
          <w:tcPr>
            <w:tcW w:w="938" w:type="dxa"/>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1.28%</w:t>
            </w:r>
          </w:p>
        </w:tc>
      </w:tr>
      <w:tr w:rsidR="009846CC" w:rsidRPr="00F6064B" w:rsidTr="00BB7F1F">
        <w:trPr>
          <w:trHeight w:val="304"/>
        </w:trPr>
        <w:tc>
          <w:tcPr>
            <w:tcW w:w="1506" w:type="dxa"/>
            <w:shd w:val="clear" w:color="auto" w:fill="auto"/>
            <w:noWrap/>
            <w:vAlign w:val="center"/>
            <w:hideMark/>
          </w:tcPr>
          <w:p w:rsidR="009846CC" w:rsidRPr="00F6064B" w:rsidRDefault="009846CC" w:rsidP="00E16426">
            <w:pPr>
              <w:spacing w:line="240" w:lineRule="auto"/>
              <w:jc w:val="left"/>
              <w:rPr>
                <w:color w:val="000000"/>
                <w:sz w:val="22"/>
                <w:szCs w:val="22"/>
                <w:lang w:val="en-IN" w:eastAsia="en-IN"/>
              </w:rPr>
            </w:pPr>
            <w:r w:rsidRPr="00F6064B">
              <w:rPr>
                <w:color w:val="000000"/>
                <w:sz w:val="22"/>
                <w:szCs w:val="22"/>
                <w:lang w:val="en-IN" w:eastAsia="en-IN"/>
              </w:rPr>
              <w:t>HT-I</w:t>
            </w:r>
          </w:p>
        </w:tc>
        <w:tc>
          <w:tcPr>
            <w:tcW w:w="1094" w:type="dxa"/>
            <w:shd w:val="clear" w:color="auto" w:fill="auto"/>
            <w:noWrap/>
            <w:vAlign w:val="bottom"/>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434</w:t>
            </w:r>
          </w:p>
        </w:tc>
        <w:tc>
          <w:tcPr>
            <w:tcW w:w="1094" w:type="dxa"/>
            <w:shd w:val="clear" w:color="auto" w:fill="auto"/>
            <w:noWrap/>
            <w:vAlign w:val="bottom"/>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412</w:t>
            </w:r>
          </w:p>
        </w:tc>
        <w:tc>
          <w:tcPr>
            <w:tcW w:w="1094" w:type="dxa"/>
            <w:shd w:val="clear" w:color="auto" w:fill="auto"/>
            <w:noWrap/>
            <w:vAlign w:val="bottom"/>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433</w:t>
            </w:r>
          </w:p>
        </w:tc>
        <w:tc>
          <w:tcPr>
            <w:tcW w:w="1094" w:type="dxa"/>
            <w:shd w:val="clear" w:color="auto" w:fill="auto"/>
            <w:noWrap/>
            <w:vAlign w:val="bottom"/>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439</w:t>
            </w:r>
          </w:p>
        </w:tc>
        <w:tc>
          <w:tcPr>
            <w:tcW w:w="1097" w:type="dxa"/>
            <w:shd w:val="clear" w:color="auto" w:fill="auto"/>
            <w:noWrap/>
            <w:vAlign w:val="bottom"/>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453</w:t>
            </w:r>
          </w:p>
        </w:tc>
        <w:tc>
          <w:tcPr>
            <w:tcW w:w="821" w:type="dxa"/>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2.28%</w:t>
            </w:r>
          </w:p>
        </w:tc>
        <w:tc>
          <w:tcPr>
            <w:tcW w:w="822" w:type="dxa"/>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3.21%</w:t>
            </w:r>
          </w:p>
        </w:tc>
        <w:tc>
          <w:tcPr>
            <w:tcW w:w="821" w:type="dxa"/>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1.08%</w:t>
            </w:r>
          </w:p>
        </w:tc>
        <w:tc>
          <w:tcPr>
            <w:tcW w:w="938" w:type="dxa"/>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2.28%</w:t>
            </w:r>
          </w:p>
        </w:tc>
      </w:tr>
      <w:tr w:rsidR="009846CC" w:rsidRPr="00F6064B" w:rsidTr="00BB7F1F">
        <w:trPr>
          <w:trHeight w:val="304"/>
        </w:trPr>
        <w:tc>
          <w:tcPr>
            <w:tcW w:w="1506" w:type="dxa"/>
            <w:shd w:val="clear" w:color="auto" w:fill="auto"/>
            <w:noWrap/>
            <w:vAlign w:val="center"/>
            <w:hideMark/>
          </w:tcPr>
          <w:p w:rsidR="009846CC" w:rsidRPr="00F6064B" w:rsidRDefault="009846CC" w:rsidP="00E16426">
            <w:pPr>
              <w:spacing w:line="240" w:lineRule="auto"/>
              <w:jc w:val="left"/>
              <w:rPr>
                <w:color w:val="000000"/>
                <w:sz w:val="22"/>
                <w:szCs w:val="22"/>
                <w:lang w:val="en-IN" w:eastAsia="en-IN"/>
              </w:rPr>
            </w:pPr>
            <w:r w:rsidRPr="00F6064B">
              <w:rPr>
                <w:color w:val="000000"/>
                <w:sz w:val="22"/>
                <w:szCs w:val="22"/>
                <w:lang w:val="en-IN" w:eastAsia="en-IN"/>
              </w:rPr>
              <w:t>HT-II</w:t>
            </w:r>
          </w:p>
        </w:tc>
        <w:tc>
          <w:tcPr>
            <w:tcW w:w="1094" w:type="dxa"/>
            <w:shd w:val="clear" w:color="auto" w:fill="auto"/>
            <w:noWrap/>
            <w:vAlign w:val="bottom"/>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49</w:t>
            </w:r>
          </w:p>
        </w:tc>
        <w:tc>
          <w:tcPr>
            <w:tcW w:w="1094" w:type="dxa"/>
            <w:shd w:val="clear" w:color="auto" w:fill="auto"/>
            <w:noWrap/>
            <w:vAlign w:val="bottom"/>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53</w:t>
            </w:r>
          </w:p>
        </w:tc>
        <w:tc>
          <w:tcPr>
            <w:tcW w:w="1094" w:type="dxa"/>
            <w:shd w:val="clear" w:color="auto" w:fill="auto"/>
            <w:noWrap/>
            <w:vAlign w:val="bottom"/>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53</w:t>
            </w:r>
          </w:p>
        </w:tc>
        <w:tc>
          <w:tcPr>
            <w:tcW w:w="1094" w:type="dxa"/>
            <w:shd w:val="clear" w:color="auto" w:fill="auto"/>
            <w:noWrap/>
            <w:vAlign w:val="bottom"/>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60</w:t>
            </w:r>
          </w:p>
        </w:tc>
        <w:tc>
          <w:tcPr>
            <w:tcW w:w="1097" w:type="dxa"/>
            <w:shd w:val="clear" w:color="auto" w:fill="auto"/>
            <w:noWrap/>
            <w:vAlign w:val="bottom"/>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61</w:t>
            </w:r>
          </w:p>
        </w:tc>
        <w:tc>
          <w:tcPr>
            <w:tcW w:w="821" w:type="dxa"/>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7.28%</w:t>
            </w:r>
          </w:p>
        </w:tc>
        <w:tc>
          <w:tcPr>
            <w:tcW w:w="822" w:type="dxa"/>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4.80%</w:t>
            </w:r>
          </w:p>
        </w:tc>
        <w:tc>
          <w:tcPr>
            <w:tcW w:w="821" w:type="dxa"/>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5.63%</w:t>
            </w:r>
          </w:p>
        </w:tc>
        <w:tc>
          <w:tcPr>
            <w:tcW w:w="938" w:type="dxa"/>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5.63%</w:t>
            </w:r>
          </w:p>
        </w:tc>
      </w:tr>
      <w:tr w:rsidR="009846CC" w:rsidRPr="00F6064B" w:rsidTr="00BB7F1F">
        <w:trPr>
          <w:trHeight w:val="304"/>
        </w:trPr>
        <w:tc>
          <w:tcPr>
            <w:tcW w:w="1506" w:type="dxa"/>
            <w:shd w:val="clear" w:color="auto" w:fill="auto"/>
            <w:noWrap/>
            <w:vAlign w:val="center"/>
            <w:hideMark/>
          </w:tcPr>
          <w:p w:rsidR="009846CC" w:rsidRPr="00F6064B" w:rsidRDefault="009846CC" w:rsidP="00E16426">
            <w:pPr>
              <w:spacing w:line="240" w:lineRule="auto"/>
              <w:jc w:val="left"/>
              <w:rPr>
                <w:color w:val="000000"/>
                <w:sz w:val="22"/>
                <w:szCs w:val="22"/>
                <w:lang w:val="en-IN" w:eastAsia="en-IN"/>
              </w:rPr>
            </w:pPr>
            <w:r w:rsidRPr="00F6064B">
              <w:rPr>
                <w:color w:val="000000"/>
                <w:sz w:val="22"/>
                <w:szCs w:val="22"/>
                <w:lang w:val="en-IN" w:eastAsia="en-IN"/>
              </w:rPr>
              <w:t>HT-III</w:t>
            </w:r>
          </w:p>
        </w:tc>
        <w:tc>
          <w:tcPr>
            <w:tcW w:w="1094" w:type="dxa"/>
            <w:shd w:val="clear" w:color="auto" w:fill="auto"/>
            <w:noWrap/>
            <w:vAlign w:val="bottom"/>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7</w:t>
            </w:r>
          </w:p>
        </w:tc>
        <w:tc>
          <w:tcPr>
            <w:tcW w:w="1094" w:type="dxa"/>
            <w:shd w:val="clear" w:color="auto" w:fill="auto"/>
            <w:noWrap/>
            <w:vAlign w:val="bottom"/>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7</w:t>
            </w:r>
          </w:p>
        </w:tc>
        <w:tc>
          <w:tcPr>
            <w:tcW w:w="1094" w:type="dxa"/>
            <w:shd w:val="clear" w:color="auto" w:fill="auto"/>
            <w:noWrap/>
            <w:vAlign w:val="bottom"/>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7</w:t>
            </w:r>
          </w:p>
        </w:tc>
        <w:tc>
          <w:tcPr>
            <w:tcW w:w="1094" w:type="dxa"/>
            <w:shd w:val="clear" w:color="auto" w:fill="auto"/>
            <w:noWrap/>
            <w:vAlign w:val="bottom"/>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7</w:t>
            </w:r>
          </w:p>
        </w:tc>
        <w:tc>
          <w:tcPr>
            <w:tcW w:w="1097" w:type="dxa"/>
            <w:shd w:val="clear" w:color="auto" w:fill="auto"/>
            <w:noWrap/>
            <w:vAlign w:val="bottom"/>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7</w:t>
            </w:r>
          </w:p>
        </w:tc>
        <w:tc>
          <w:tcPr>
            <w:tcW w:w="821" w:type="dxa"/>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0.00%</w:t>
            </w:r>
          </w:p>
        </w:tc>
        <w:tc>
          <w:tcPr>
            <w:tcW w:w="822" w:type="dxa"/>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0.00%</w:t>
            </w:r>
          </w:p>
        </w:tc>
        <w:tc>
          <w:tcPr>
            <w:tcW w:w="821" w:type="dxa"/>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0.00%</w:t>
            </w:r>
          </w:p>
        </w:tc>
        <w:tc>
          <w:tcPr>
            <w:tcW w:w="938" w:type="dxa"/>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0.00%</w:t>
            </w:r>
          </w:p>
        </w:tc>
      </w:tr>
      <w:tr w:rsidR="009846CC" w:rsidRPr="00F6064B" w:rsidTr="00BB7F1F">
        <w:trPr>
          <w:trHeight w:val="304"/>
        </w:trPr>
        <w:tc>
          <w:tcPr>
            <w:tcW w:w="1506" w:type="dxa"/>
            <w:shd w:val="clear" w:color="auto" w:fill="auto"/>
            <w:noWrap/>
            <w:vAlign w:val="center"/>
            <w:hideMark/>
          </w:tcPr>
          <w:p w:rsidR="009846CC" w:rsidRPr="009A6247" w:rsidRDefault="009846CC" w:rsidP="00E16426">
            <w:pPr>
              <w:spacing w:line="240" w:lineRule="auto"/>
              <w:jc w:val="left"/>
              <w:rPr>
                <w:b/>
                <w:bCs/>
                <w:sz w:val="22"/>
                <w:szCs w:val="22"/>
                <w:lang w:val="en-IN" w:eastAsia="en-IN"/>
              </w:rPr>
            </w:pPr>
            <w:r w:rsidRPr="009A6247">
              <w:rPr>
                <w:b/>
                <w:bCs/>
                <w:sz w:val="22"/>
                <w:szCs w:val="22"/>
                <w:lang w:val="en-IN" w:eastAsia="en-IN"/>
              </w:rPr>
              <w:t> Total</w:t>
            </w:r>
          </w:p>
        </w:tc>
        <w:tc>
          <w:tcPr>
            <w:tcW w:w="1094" w:type="dxa"/>
            <w:shd w:val="clear" w:color="auto" w:fill="auto"/>
            <w:noWrap/>
            <w:vAlign w:val="center"/>
            <w:hideMark/>
          </w:tcPr>
          <w:p w:rsidR="009846CC" w:rsidRPr="00DE0A5E" w:rsidRDefault="009846CC" w:rsidP="00735CAB">
            <w:pPr>
              <w:spacing w:line="240" w:lineRule="auto"/>
              <w:jc w:val="right"/>
              <w:rPr>
                <w:b/>
                <w:bCs/>
                <w:sz w:val="22"/>
                <w:szCs w:val="22"/>
                <w:lang w:val="en-IN" w:eastAsia="en-IN"/>
              </w:rPr>
            </w:pPr>
            <w:r w:rsidRPr="00DE0A5E">
              <w:rPr>
                <w:b/>
                <w:bCs/>
                <w:sz w:val="22"/>
                <w:szCs w:val="22"/>
                <w:lang w:val="en-IN" w:eastAsia="en-IN"/>
              </w:rPr>
              <w:t>416208</w:t>
            </w:r>
          </w:p>
        </w:tc>
        <w:tc>
          <w:tcPr>
            <w:tcW w:w="1094" w:type="dxa"/>
            <w:shd w:val="clear" w:color="auto" w:fill="auto"/>
            <w:noWrap/>
            <w:vAlign w:val="center"/>
            <w:hideMark/>
          </w:tcPr>
          <w:p w:rsidR="009846CC" w:rsidRPr="00F6064B" w:rsidRDefault="009846CC" w:rsidP="00735CAB">
            <w:pPr>
              <w:spacing w:line="240" w:lineRule="auto"/>
              <w:jc w:val="right"/>
              <w:rPr>
                <w:b/>
                <w:bCs/>
                <w:sz w:val="22"/>
                <w:szCs w:val="22"/>
                <w:lang w:val="en-IN" w:eastAsia="en-IN"/>
              </w:rPr>
            </w:pPr>
            <w:r w:rsidRPr="00F6064B">
              <w:rPr>
                <w:b/>
                <w:bCs/>
                <w:sz w:val="22"/>
                <w:szCs w:val="22"/>
                <w:lang w:val="en-IN" w:eastAsia="en-IN"/>
              </w:rPr>
              <w:t>432609</w:t>
            </w:r>
          </w:p>
        </w:tc>
        <w:tc>
          <w:tcPr>
            <w:tcW w:w="1094" w:type="dxa"/>
            <w:shd w:val="clear" w:color="auto" w:fill="auto"/>
            <w:noWrap/>
            <w:vAlign w:val="center"/>
            <w:hideMark/>
          </w:tcPr>
          <w:p w:rsidR="009846CC" w:rsidRPr="00F6064B" w:rsidRDefault="009846CC" w:rsidP="00735CAB">
            <w:pPr>
              <w:spacing w:line="240" w:lineRule="auto"/>
              <w:jc w:val="right"/>
              <w:rPr>
                <w:b/>
                <w:bCs/>
                <w:sz w:val="22"/>
                <w:szCs w:val="22"/>
                <w:lang w:val="en-IN" w:eastAsia="en-IN"/>
              </w:rPr>
            </w:pPr>
            <w:r w:rsidRPr="00F6064B">
              <w:rPr>
                <w:b/>
                <w:bCs/>
                <w:sz w:val="22"/>
                <w:szCs w:val="22"/>
                <w:lang w:val="en-IN" w:eastAsia="en-IN"/>
              </w:rPr>
              <w:t>457556</w:t>
            </w:r>
          </w:p>
        </w:tc>
        <w:tc>
          <w:tcPr>
            <w:tcW w:w="1094" w:type="dxa"/>
            <w:shd w:val="clear" w:color="auto" w:fill="auto"/>
            <w:noWrap/>
            <w:vAlign w:val="center"/>
            <w:hideMark/>
          </w:tcPr>
          <w:p w:rsidR="009846CC" w:rsidRPr="00F6064B" w:rsidRDefault="009846CC" w:rsidP="00735CAB">
            <w:pPr>
              <w:spacing w:line="240" w:lineRule="auto"/>
              <w:jc w:val="right"/>
              <w:rPr>
                <w:b/>
                <w:bCs/>
                <w:sz w:val="22"/>
                <w:szCs w:val="22"/>
                <w:lang w:val="en-IN" w:eastAsia="en-IN"/>
              </w:rPr>
            </w:pPr>
            <w:r w:rsidRPr="00F6064B">
              <w:rPr>
                <w:b/>
                <w:bCs/>
                <w:sz w:val="22"/>
                <w:szCs w:val="22"/>
                <w:lang w:val="en-IN" w:eastAsia="en-IN"/>
              </w:rPr>
              <w:t>465265</w:t>
            </w:r>
          </w:p>
        </w:tc>
        <w:tc>
          <w:tcPr>
            <w:tcW w:w="1097" w:type="dxa"/>
            <w:shd w:val="clear" w:color="auto" w:fill="auto"/>
            <w:noWrap/>
            <w:vAlign w:val="center"/>
            <w:hideMark/>
          </w:tcPr>
          <w:p w:rsidR="009846CC" w:rsidRPr="00F6064B" w:rsidRDefault="009846CC" w:rsidP="00735CAB">
            <w:pPr>
              <w:spacing w:line="240" w:lineRule="auto"/>
              <w:jc w:val="right"/>
              <w:rPr>
                <w:b/>
                <w:bCs/>
                <w:sz w:val="22"/>
                <w:szCs w:val="22"/>
                <w:lang w:val="en-IN" w:eastAsia="en-IN"/>
              </w:rPr>
            </w:pPr>
            <w:r w:rsidRPr="00F6064B">
              <w:rPr>
                <w:b/>
                <w:bCs/>
                <w:sz w:val="22"/>
                <w:szCs w:val="22"/>
                <w:lang w:val="en-IN" w:eastAsia="en-IN"/>
              </w:rPr>
              <w:t>479907</w:t>
            </w:r>
          </w:p>
        </w:tc>
        <w:tc>
          <w:tcPr>
            <w:tcW w:w="821" w:type="dxa"/>
            <w:shd w:val="clear" w:color="auto" w:fill="auto"/>
            <w:noWrap/>
            <w:vAlign w:val="center"/>
            <w:hideMark/>
          </w:tcPr>
          <w:p w:rsidR="009846CC" w:rsidRPr="00F6064B" w:rsidRDefault="009846CC" w:rsidP="00735CAB">
            <w:pPr>
              <w:spacing w:line="240" w:lineRule="auto"/>
              <w:jc w:val="right"/>
              <w:rPr>
                <w:b/>
                <w:bCs/>
                <w:sz w:val="22"/>
                <w:szCs w:val="22"/>
                <w:lang w:val="en-IN" w:eastAsia="en-IN"/>
              </w:rPr>
            </w:pPr>
          </w:p>
        </w:tc>
        <w:tc>
          <w:tcPr>
            <w:tcW w:w="822" w:type="dxa"/>
            <w:shd w:val="clear" w:color="auto" w:fill="auto"/>
            <w:noWrap/>
            <w:vAlign w:val="center"/>
          </w:tcPr>
          <w:p w:rsidR="009846CC" w:rsidRPr="00F6064B" w:rsidRDefault="009846CC" w:rsidP="00735CAB">
            <w:pPr>
              <w:spacing w:line="240" w:lineRule="auto"/>
              <w:jc w:val="right"/>
              <w:rPr>
                <w:b/>
                <w:bCs/>
                <w:sz w:val="22"/>
                <w:szCs w:val="22"/>
                <w:lang w:val="en-IN" w:eastAsia="en-IN"/>
              </w:rPr>
            </w:pPr>
          </w:p>
        </w:tc>
        <w:tc>
          <w:tcPr>
            <w:tcW w:w="821" w:type="dxa"/>
            <w:shd w:val="clear" w:color="auto" w:fill="auto"/>
            <w:noWrap/>
            <w:vAlign w:val="center"/>
          </w:tcPr>
          <w:p w:rsidR="009846CC" w:rsidRPr="00F6064B" w:rsidRDefault="009846CC" w:rsidP="00735CAB">
            <w:pPr>
              <w:spacing w:line="240" w:lineRule="auto"/>
              <w:jc w:val="right"/>
              <w:rPr>
                <w:b/>
                <w:bCs/>
                <w:sz w:val="22"/>
                <w:szCs w:val="22"/>
                <w:lang w:val="en-IN" w:eastAsia="en-IN"/>
              </w:rPr>
            </w:pPr>
          </w:p>
        </w:tc>
        <w:tc>
          <w:tcPr>
            <w:tcW w:w="938" w:type="dxa"/>
            <w:shd w:val="clear" w:color="auto" w:fill="auto"/>
            <w:noWrap/>
            <w:vAlign w:val="center"/>
          </w:tcPr>
          <w:p w:rsidR="009846CC" w:rsidRPr="00F6064B" w:rsidRDefault="009846CC" w:rsidP="00735CAB">
            <w:pPr>
              <w:spacing w:line="240" w:lineRule="auto"/>
              <w:jc w:val="right"/>
              <w:rPr>
                <w:b/>
                <w:bCs/>
                <w:sz w:val="22"/>
                <w:szCs w:val="22"/>
                <w:lang w:val="en-IN" w:eastAsia="en-IN"/>
              </w:rPr>
            </w:pPr>
          </w:p>
        </w:tc>
      </w:tr>
    </w:tbl>
    <w:p w:rsidR="009846CC" w:rsidRDefault="009846CC" w:rsidP="009846CC">
      <w:pPr>
        <w:pStyle w:val="EDNormal"/>
      </w:pPr>
    </w:p>
    <w:p w:rsidR="00735CAB" w:rsidRDefault="00735CAB" w:rsidP="009846CC">
      <w:pPr>
        <w:pStyle w:val="EDNormal"/>
      </w:pPr>
    </w:p>
    <w:p w:rsidR="00735CAB" w:rsidRDefault="00735CAB" w:rsidP="009846CC">
      <w:pPr>
        <w:pStyle w:val="EDNormal"/>
      </w:pPr>
    </w:p>
    <w:p w:rsidR="00735CAB" w:rsidRDefault="00735CAB" w:rsidP="009846CC">
      <w:pPr>
        <w:pStyle w:val="EDNormal"/>
      </w:pPr>
    </w:p>
    <w:p w:rsidR="009846CC" w:rsidRDefault="009846CC" w:rsidP="00061AA6">
      <w:pPr>
        <w:pStyle w:val="Caption"/>
      </w:pPr>
      <w:bookmarkStart w:id="84" w:name="_Toc426377586"/>
      <w:bookmarkStart w:id="85" w:name="_Toc523719570"/>
      <w:r>
        <w:t xml:space="preserve">Table </w:t>
      </w:r>
      <w:r w:rsidR="00140E1B">
        <w:fldChar w:fldCharType="begin"/>
      </w:r>
      <w:r>
        <w:instrText xml:space="preserve"> SEQ Table \* ARABIC </w:instrText>
      </w:r>
      <w:r w:rsidR="00140E1B">
        <w:fldChar w:fldCharType="separate"/>
      </w:r>
      <w:r w:rsidR="004B7EE5">
        <w:rPr>
          <w:noProof/>
        </w:rPr>
        <w:t>11</w:t>
      </w:r>
      <w:r w:rsidR="00140E1B">
        <w:rPr>
          <w:noProof/>
        </w:rPr>
        <w:fldChar w:fldCharType="end"/>
      </w:r>
      <w:r w:rsidRPr="00E57D4A">
        <w:t xml:space="preserve">: Summary of Category-wise </w:t>
      </w:r>
      <w:r>
        <w:t xml:space="preserve">Connected Load (kW) </w:t>
      </w:r>
      <w:r w:rsidRPr="00E57D4A">
        <w:t>Growth Rate Considered for Projections</w:t>
      </w:r>
      <w:bookmarkEnd w:id="84"/>
      <w:bookmarkEnd w:id="85"/>
    </w:p>
    <w:tbl>
      <w:tblPr>
        <w:tblW w:w="5757" w:type="pct"/>
        <w:tblInd w:w="-318" w:type="dxa"/>
        <w:tblLayout w:type="fixed"/>
        <w:tblLook w:val="04A0"/>
      </w:tblPr>
      <w:tblGrid>
        <w:gridCol w:w="1774"/>
        <w:gridCol w:w="1014"/>
        <w:gridCol w:w="978"/>
        <w:gridCol w:w="976"/>
        <w:gridCol w:w="981"/>
        <w:gridCol w:w="977"/>
        <w:gridCol w:w="911"/>
        <w:gridCol w:w="996"/>
        <w:gridCol w:w="1003"/>
        <w:gridCol w:w="1035"/>
      </w:tblGrid>
      <w:tr w:rsidR="009846CC" w:rsidRPr="00F6064B" w:rsidTr="000E7480">
        <w:trPr>
          <w:trHeight w:val="172"/>
        </w:trPr>
        <w:tc>
          <w:tcPr>
            <w:tcW w:w="833" w:type="pct"/>
            <w:tcBorders>
              <w:top w:val="single" w:sz="4" w:space="0" w:color="auto"/>
              <w:left w:val="single" w:sz="4" w:space="0" w:color="auto"/>
              <w:bottom w:val="single" w:sz="4" w:space="0" w:color="auto"/>
              <w:right w:val="single" w:sz="4" w:space="0" w:color="auto"/>
            </w:tcBorders>
            <w:shd w:val="clear" w:color="000000" w:fill="ACB9CA"/>
            <w:noWrap/>
            <w:vAlign w:val="center"/>
            <w:hideMark/>
          </w:tcPr>
          <w:p w:rsidR="009846CC" w:rsidRPr="00F6064B" w:rsidRDefault="009846CC" w:rsidP="00E16426">
            <w:pPr>
              <w:spacing w:line="240" w:lineRule="auto"/>
              <w:jc w:val="center"/>
              <w:rPr>
                <w:b/>
                <w:bCs/>
                <w:sz w:val="22"/>
                <w:szCs w:val="22"/>
                <w:lang w:val="en-IN" w:eastAsia="en-IN"/>
              </w:rPr>
            </w:pPr>
            <w:r w:rsidRPr="00F6064B">
              <w:rPr>
                <w:b/>
                <w:bCs/>
                <w:sz w:val="22"/>
                <w:szCs w:val="22"/>
                <w:lang w:val="en-IN" w:eastAsia="en-IN"/>
              </w:rPr>
              <w:t>Connected Load (kW)</w:t>
            </w:r>
          </w:p>
        </w:tc>
        <w:tc>
          <w:tcPr>
            <w:tcW w:w="2313" w:type="pct"/>
            <w:gridSpan w:val="5"/>
            <w:tcBorders>
              <w:top w:val="single" w:sz="4" w:space="0" w:color="auto"/>
              <w:left w:val="nil"/>
              <w:bottom w:val="single" w:sz="4" w:space="0" w:color="auto"/>
              <w:right w:val="single" w:sz="4" w:space="0" w:color="000000"/>
            </w:tcBorders>
            <w:shd w:val="clear" w:color="000000" w:fill="ACB9CA"/>
            <w:noWrap/>
            <w:vAlign w:val="center"/>
            <w:hideMark/>
          </w:tcPr>
          <w:p w:rsidR="009846CC" w:rsidRPr="00F6064B" w:rsidRDefault="009846CC" w:rsidP="00E16426">
            <w:pPr>
              <w:spacing w:line="240" w:lineRule="auto"/>
              <w:jc w:val="center"/>
              <w:rPr>
                <w:b/>
                <w:bCs/>
                <w:color w:val="000000"/>
                <w:sz w:val="22"/>
                <w:szCs w:val="22"/>
                <w:lang w:val="en-IN" w:eastAsia="en-IN"/>
              </w:rPr>
            </w:pPr>
            <w:r w:rsidRPr="00F6064B">
              <w:rPr>
                <w:b/>
                <w:bCs/>
                <w:color w:val="000000"/>
                <w:sz w:val="22"/>
                <w:szCs w:val="22"/>
                <w:lang w:val="en-IN" w:eastAsia="en-IN"/>
              </w:rPr>
              <w:t>Actuals</w:t>
            </w:r>
          </w:p>
        </w:tc>
        <w:tc>
          <w:tcPr>
            <w:tcW w:w="1853" w:type="pct"/>
            <w:gridSpan w:val="4"/>
            <w:tcBorders>
              <w:top w:val="single" w:sz="4" w:space="0" w:color="auto"/>
              <w:left w:val="nil"/>
              <w:bottom w:val="single" w:sz="4" w:space="0" w:color="auto"/>
              <w:right w:val="single" w:sz="4" w:space="0" w:color="000000"/>
            </w:tcBorders>
            <w:shd w:val="clear" w:color="000000" w:fill="ACB9CA"/>
            <w:noWrap/>
            <w:vAlign w:val="center"/>
            <w:hideMark/>
          </w:tcPr>
          <w:p w:rsidR="009846CC" w:rsidRPr="00F6064B" w:rsidRDefault="009846CC" w:rsidP="00E16426">
            <w:pPr>
              <w:spacing w:line="240" w:lineRule="auto"/>
              <w:jc w:val="center"/>
              <w:rPr>
                <w:b/>
                <w:bCs/>
                <w:color w:val="000000"/>
                <w:sz w:val="22"/>
                <w:szCs w:val="22"/>
                <w:lang w:val="en-IN" w:eastAsia="en-IN"/>
              </w:rPr>
            </w:pPr>
            <w:r w:rsidRPr="00F6064B">
              <w:rPr>
                <w:b/>
                <w:bCs/>
                <w:color w:val="000000"/>
                <w:sz w:val="22"/>
                <w:szCs w:val="22"/>
                <w:lang w:val="en-IN" w:eastAsia="en-IN"/>
              </w:rPr>
              <w:t>CAGR</w:t>
            </w:r>
          </w:p>
        </w:tc>
      </w:tr>
      <w:tr w:rsidR="009846CC" w:rsidRPr="00F6064B" w:rsidTr="000E7480">
        <w:trPr>
          <w:trHeight w:val="172"/>
        </w:trPr>
        <w:tc>
          <w:tcPr>
            <w:tcW w:w="833" w:type="pct"/>
            <w:tcBorders>
              <w:top w:val="nil"/>
              <w:left w:val="single" w:sz="4" w:space="0" w:color="auto"/>
              <w:bottom w:val="single" w:sz="4" w:space="0" w:color="auto"/>
              <w:right w:val="single" w:sz="4" w:space="0" w:color="auto"/>
            </w:tcBorders>
            <w:shd w:val="clear" w:color="000000" w:fill="ACB9CA"/>
            <w:noWrap/>
            <w:vAlign w:val="center"/>
            <w:hideMark/>
          </w:tcPr>
          <w:p w:rsidR="009846CC" w:rsidRPr="00F6064B" w:rsidRDefault="009846CC" w:rsidP="00E16426">
            <w:pPr>
              <w:spacing w:line="240" w:lineRule="auto"/>
              <w:jc w:val="center"/>
              <w:rPr>
                <w:b/>
                <w:bCs/>
                <w:sz w:val="22"/>
                <w:szCs w:val="22"/>
                <w:lang w:val="en-IN" w:eastAsia="en-IN"/>
              </w:rPr>
            </w:pPr>
            <w:r w:rsidRPr="00F6064B">
              <w:rPr>
                <w:b/>
                <w:bCs/>
                <w:sz w:val="22"/>
                <w:szCs w:val="22"/>
                <w:lang w:val="en-IN" w:eastAsia="en-IN"/>
              </w:rPr>
              <w:t>Consumer Category</w:t>
            </w:r>
          </w:p>
        </w:tc>
        <w:tc>
          <w:tcPr>
            <w:tcW w:w="476" w:type="pct"/>
            <w:tcBorders>
              <w:top w:val="nil"/>
              <w:left w:val="nil"/>
              <w:bottom w:val="single" w:sz="4" w:space="0" w:color="auto"/>
              <w:right w:val="nil"/>
            </w:tcBorders>
            <w:shd w:val="clear" w:color="000000" w:fill="ACB9CA"/>
            <w:noWrap/>
            <w:vAlign w:val="center"/>
            <w:hideMark/>
          </w:tcPr>
          <w:p w:rsidR="009846CC" w:rsidRPr="00F6064B" w:rsidRDefault="009846CC" w:rsidP="00E16426">
            <w:pPr>
              <w:spacing w:line="240" w:lineRule="auto"/>
              <w:jc w:val="left"/>
              <w:rPr>
                <w:b/>
                <w:bCs/>
                <w:color w:val="000000"/>
                <w:sz w:val="22"/>
                <w:szCs w:val="22"/>
                <w:lang w:val="en-IN" w:eastAsia="en-IN"/>
              </w:rPr>
            </w:pPr>
            <w:r w:rsidRPr="00F6064B">
              <w:rPr>
                <w:b/>
                <w:bCs/>
                <w:color w:val="000000"/>
                <w:sz w:val="22"/>
                <w:szCs w:val="22"/>
                <w:lang w:val="en-IN" w:eastAsia="en-IN"/>
              </w:rPr>
              <w:t>FY 2013-14</w:t>
            </w:r>
          </w:p>
        </w:tc>
        <w:tc>
          <w:tcPr>
            <w:tcW w:w="459" w:type="pct"/>
            <w:tcBorders>
              <w:top w:val="nil"/>
              <w:left w:val="single" w:sz="4" w:space="0" w:color="auto"/>
              <w:bottom w:val="single" w:sz="4" w:space="0" w:color="auto"/>
              <w:right w:val="nil"/>
            </w:tcBorders>
            <w:shd w:val="clear" w:color="000000" w:fill="ACB9CA"/>
            <w:noWrap/>
            <w:vAlign w:val="center"/>
            <w:hideMark/>
          </w:tcPr>
          <w:p w:rsidR="009846CC" w:rsidRPr="00F6064B" w:rsidRDefault="009846CC" w:rsidP="00E16426">
            <w:pPr>
              <w:spacing w:line="240" w:lineRule="auto"/>
              <w:jc w:val="left"/>
              <w:rPr>
                <w:b/>
                <w:bCs/>
                <w:color w:val="000000"/>
                <w:sz w:val="22"/>
                <w:szCs w:val="22"/>
                <w:lang w:val="en-IN" w:eastAsia="en-IN"/>
              </w:rPr>
            </w:pPr>
            <w:r w:rsidRPr="00F6064B">
              <w:rPr>
                <w:b/>
                <w:bCs/>
                <w:color w:val="000000"/>
                <w:sz w:val="22"/>
                <w:szCs w:val="22"/>
                <w:lang w:val="en-IN" w:eastAsia="en-IN"/>
              </w:rPr>
              <w:t>FY 2014-15</w:t>
            </w:r>
          </w:p>
        </w:tc>
        <w:tc>
          <w:tcPr>
            <w:tcW w:w="458" w:type="pct"/>
            <w:tcBorders>
              <w:top w:val="nil"/>
              <w:left w:val="single" w:sz="4" w:space="0" w:color="auto"/>
              <w:bottom w:val="single" w:sz="4" w:space="0" w:color="auto"/>
              <w:right w:val="nil"/>
            </w:tcBorders>
            <w:shd w:val="clear" w:color="000000" w:fill="ACB9CA"/>
            <w:noWrap/>
            <w:vAlign w:val="center"/>
            <w:hideMark/>
          </w:tcPr>
          <w:p w:rsidR="009846CC" w:rsidRPr="00F6064B" w:rsidRDefault="009846CC" w:rsidP="00E16426">
            <w:pPr>
              <w:spacing w:line="240" w:lineRule="auto"/>
              <w:jc w:val="left"/>
              <w:rPr>
                <w:b/>
                <w:bCs/>
                <w:color w:val="000000"/>
                <w:sz w:val="22"/>
                <w:szCs w:val="22"/>
                <w:lang w:val="en-IN" w:eastAsia="en-IN"/>
              </w:rPr>
            </w:pPr>
            <w:r w:rsidRPr="00F6064B">
              <w:rPr>
                <w:b/>
                <w:bCs/>
                <w:color w:val="000000"/>
                <w:sz w:val="22"/>
                <w:szCs w:val="22"/>
                <w:lang w:val="en-IN" w:eastAsia="en-IN"/>
              </w:rPr>
              <w:t>FY 2015-16</w:t>
            </w:r>
          </w:p>
        </w:tc>
        <w:tc>
          <w:tcPr>
            <w:tcW w:w="461" w:type="pct"/>
            <w:tcBorders>
              <w:top w:val="nil"/>
              <w:left w:val="single" w:sz="4" w:space="0" w:color="auto"/>
              <w:bottom w:val="single" w:sz="4" w:space="0" w:color="auto"/>
              <w:right w:val="nil"/>
            </w:tcBorders>
            <w:shd w:val="clear" w:color="000000" w:fill="ACB9CA"/>
            <w:noWrap/>
            <w:vAlign w:val="center"/>
            <w:hideMark/>
          </w:tcPr>
          <w:p w:rsidR="009846CC" w:rsidRPr="00F6064B" w:rsidRDefault="009846CC" w:rsidP="00E16426">
            <w:pPr>
              <w:spacing w:line="240" w:lineRule="auto"/>
              <w:jc w:val="left"/>
              <w:rPr>
                <w:b/>
                <w:bCs/>
                <w:color w:val="000000"/>
                <w:sz w:val="22"/>
                <w:szCs w:val="22"/>
                <w:lang w:val="en-IN" w:eastAsia="en-IN"/>
              </w:rPr>
            </w:pPr>
            <w:r w:rsidRPr="00F6064B">
              <w:rPr>
                <w:b/>
                <w:bCs/>
                <w:color w:val="000000"/>
                <w:sz w:val="22"/>
                <w:szCs w:val="22"/>
                <w:lang w:val="en-IN" w:eastAsia="en-IN"/>
              </w:rPr>
              <w:t>FY 2016-17</w:t>
            </w:r>
          </w:p>
        </w:tc>
        <w:tc>
          <w:tcPr>
            <w:tcW w:w="459" w:type="pct"/>
            <w:tcBorders>
              <w:top w:val="nil"/>
              <w:left w:val="single" w:sz="4" w:space="0" w:color="auto"/>
              <w:bottom w:val="single" w:sz="4" w:space="0" w:color="auto"/>
              <w:right w:val="nil"/>
            </w:tcBorders>
            <w:shd w:val="clear" w:color="000000" w:fill="ACB9CA"/>
            <w:noWrap/>
            <w:vAlign w:val="center"/>
            <w:hideMark/>
          </w:tcPr>
          <w:p w:rsidR="009846CC" w:rsidRPr="00F6064B" w:rsidRDefault="009846CC" w:rsidP="00E16426">
            <w:pPr>
              <w:spacing w:line="240" w:lineRule="auto"/>
              <w:jc w:val="left"/>
              <w:rPr>
                <w:b/>
                <w:bCs/>
                <w:color w:val="000000"/>
                <w:sz w:val="22"/>
                <w:szCs w:val="22"/>
                <w:lang w:val="en-IN" w:eastAsia="en-IN"/>
              </w:rPr>
            </w:pPr>
            <w:r w:rsidRPr="00F6064B">
              <w:rPr>
                <w:b/>
                <w:bCs/>
                <w:color w:val="000000"/>
                <w:sz w:val="22"/>
                <w:szCs w:val="22"/>
                <w:lang w:val="en-IN" w:eastAsia="en-IN"/>
              </w:rPr>
              <w:t>FY 2017-18</w:t>
            </w:r>
          </w:p>
        </w:tc>
        <w:tc>
          <w:tcPr>
            <w:tcW w:w="428" w:type="pct"/>
            <w:tcBorders>
              <w:top w:val="nil"/>
              <w:left w:val="single" w:sz="4" w:space="0" w:color="auto"/>
              <w:bottom w:val="single" w:sz="4" w:space="0" w:color="auto"/>
              <w:right w:val="single" w:sz="4" w:space="0" w:color="auto"/>
            </w:tcBorders>
            <w:shd w:val="clear" w:color="000000" w:fill="ACB9CA"/>
            <w:noWrap/>
            <w:vAlign w:val="center"/>
            <w:hideMark/>
          </w:tcPr>
          <w:p w:rsidR="009846CC" w:rsidRPr="00F6064B" w:rsidRDefault="009846CC" w:rsidP="00E16426">
            <w:pPr>
              <w:spacing w:line="240" w:lineRule="auto"/>
              <w:jc w:val="center"/>
              <w:rPr>
                <w:b/>
                <w:bCs/>
                <w:color w:val="000000"/>
                <w:sz w:val="22"/>
                <w:szCs w:val="22"/>
                <w:lang w:val="en-IN" w:eastAsia="en-IN"/>
              </w:rPr>
            </w:pPr>
            <w:r w:rsidRPr="00F6064B">
              <w:rPr>
                <w:b/>
                <w:bCs/>
                <w:color w:val="000000"/>
                <w:sz w:val="22"/>
                <w:szCs w:val="22"/>
                <w:lang w:val="en-IN" w:eastAsia="en-IN"/>
              </w:rPr>
              <w:t>3 year</w:t>
            </w:r>
          </w:p>
        </w:tc>
        <w:tc>
          <w:tcPr>
            <w:tcW w:w="468" w:type="pct"/>
            <w:tcBorders>
              <w:top w:val="nil"/>
              <w:left w:val="nil"/>
              <w:bottom w:val="single" w:sz="4" w:space="0" w:color="auto"/>
              <w:right w:val="single" w:sz="4" w:space="0" w:color="auto"/>
            </w:tcBorders>
            <w:shd w:val="clear" w:color="000000" w:fill="ACB9CA"/>
            <w:noWrap/>
            <w:vAlign w:val="center"/>
            <w:hideMark/>
          </w:tcPr>
          <w:p w:rsidR="009846CC" w:rsidRPr="00F6064B" w:rsidRDefault="009846CC" w:rsidP="00E16426">
            <w:pPr>
              <w:spacing w:line="240" w:lineRule="auto"/>
              <w:jc w:val="center"/>
              <w:rPr>
                <w:b/>
                <w:bCs/>
                <w:color w:val="000000"/>
                <w:sz w:val="22"/>
                <w:szCs w:val="22"/>
                <w:lang w:val="en-IN" w:eastAsia="en-IN"/>
              </w:rPr>
            </w:pPr>
            <w:r w:rsidRPr="00F6064B">
              <w:rPr>
                <w:b/>
                <w:bCs/>
                <w:color w:val="000000"/>
                <w:sz w:val="22"/>
                <w:szCs w:val="22"/>
                <w:lang w:val="en-IN" w:eastAsia="en-IN"/>
              </w:rPr>
              <w:t>4 year</w:t>
            </w:r>
          </w:p>
        </w:tc>
        <w:tc>
          <w:tcPr>
            <w:tcW w:w="471" w:type="pct"/>
            <w:tcBorders>
              <w:top w:val="nil"/>
              <w:left w:val="nil"/>
              <w:bottom w:val="single" w:sz="4" w:space="0" w:color="auto"/>
              <w:right w:val="single" w:sz="4" w:space="0" w:color="auto"/>
            </w:tcBorders>
            <w:shd w:val="clear" w:color="000000" w:fill="ACB9CA"/>
            <w:noWrap/>
            <w:vAlign w:val="center"/>
            <w:hideMark/>
          </w:tcPr>
          <w:p w:rsidR="009846CC" w:rsidRPr="00F6064B" w:rsidRDefault="009846CC" w:rsidP="00E16426">
            <w:pPr>
              <w:spacing w:line="240" w:lineRule="auto"/>
              <w:jc w:val="center"/>
              <w:rPr>
                <w:b/>
                <w:bCs/>
                <w:color w:val="000000"/>
                <w:sz w:val="22"/>
                <w:szCs w:val="22"/>
                <w:lang w:val="en-IN" w:eastAsia="en-IN"/>
              </w:rPr>
            </w:pPr>
            <w:r w:rsidRPr="00F6064B">
              <w:rPr>
                <w:b/>
                <w:bCs/>
                <w:color w:val="000000"/>
                <w:sz w:val="22"/>
                <w:szCs w:val="22"/>
                <w:lang w:val="en-IN" w:eastAsia="en-IN"/>
              </w:rPr>
              <w:t>5 year</w:t>
            </w:r>
          </w:p>
        </w:tc>
        <w:tc>
          <w:tcPr>
            <w:tcW w:w="486" w:type="pct"/>
            <w:tcBorders>
              <w:top w:val="nil"/>
              <w:left w:val="nil"/>
              <w:bottom w:val="single" w:sz="4" w:space="0" w:color="auto"/>
              <w:right w:val="single" w:sz="4" w:space="0" w:color="auto"/>
            </w:tcBorders>
            <w:shd w:val="clear" w:color="000000" w:fill="ACB9CA"/>
            <w:noWrap/>
            <w:vAlign w:val="center"/>
            <w:hideMark/>
          </w:tcPr>
          <w:p w:rsidR="009846CC" w:rsidRPr="00F6064B" w:rsidRDefault="009846CC" w:rsidP="00E16426">
            <w:pPr>
              <w:spacing w:line="240" w:lineRule="auto"/>
              <w:jc w:val="center"/>
              <w:rPr>
                <w:b/>
                <w:bCs/>
                <w:color w:val="000000"/>
                <w:sz w:val="22"/>
                <w:szCs w:val="22"/>
                <w:lang w:val="en-IN" w:eastAsia="en-IN"/>
              </w:rPr>
            </w:pPr>
            <w:r w:rsidRPr="00F6064B">
              <w:rPr>
                <w:b/>
                <w:bCs/>
                <w:color w:val="000000"/>
                <w:sz w:val="22"/>
                <w:szCs w:val="22"/>
                <w:lang w:val="en-IN" w:eastAsia="en-IN"/>
              </w:rPr>
              <w:t>CAGR Considered</w:t>
            </w:r>
          </w:p>
        </w:tc>
      </w:tr>
      <w:tr w:rsidR="009846CC" w:rsidRPr="00F6064B" w:rsidTr="000E7480">
        <w:trPr>
          <w:trHeight w:val="172"/>
        </w:trPr>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846CC" w:rsidRPr="00F6064B" w:rsidRDefault="009846CC" w:rsidP="00E16426">
            <w:pPr>
              <w:spacing w:line="240" w:lineRule="auto"/>
              <w:jc w:val="left"/>
              <w:rPr>
                <w:color w:val="000000"/>
                <w:sz w:val="20"/>
                <w:szCs w:val="20"/>
                <w:lang w:val="en-IN" w:eastAsia="en-IN"/>
              </w:rPr>
            </w:pPr>
            <w:r w:rsidRPr="00F6064B">
              <w:rPr>
                <w:color w:val="000000"/>
                <w:sz w:val="20"/>
                <w:szCs w:val="20"/>
                <w:lang w:val="en-IN" w:eastAsia="en-IN"/>
              </w:rPr>
              <w:t>Domestic</w:t>
            </w:r>
          </w:p>
        </w:tc>
        <w:tc>
          <w:tcPr>
            <w:tcW w:w="476" w:type="pct"/>
            <w:tcBorders>
              <w:top w:val="single" w:sz="4" w:space="0" w:color="auto"/>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0"/>
                <w:szCs w:val="20"/>
                <w:lang w:val="en-IN" w:eastAsia="en-IN"/>
              </w:rPr>
            </w:pPr>
            <w:r w:rsidRPr="00F6064B">
              <w:rPr>
                <w:color w:val="000000"/>
                <w:sz w:val="20"/>
                <w:szCs w:val="20"/>
                <w:lang w:val="en-IN" w:eastAsia="en-IN"/>
              </w:rPr>
              <w:t>481581</w:t>
            </w:r>
          </w:p>
        </w:tc>
        <w:tc>
          <w:tcPr>
            <w:tcW w:w="459" w:type="pct"/>
            <w:tcBorders>
              <w:top w:val="single" w:sz="4" w:space="0" w:color="auto"/>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0"/>
                <w:szCs w:val="20"/>
                <w:lang w:val="en-IN" w:eastAsia="en-IN"/>
              </w:rPr>
            </w:pPr>
            <w:r w:rsidRPr="00F6064B">
              <w:rPr>
                <w:color w:val="000000"/>
                <w:sz w:val="20"/>
                <w:szCs w:val="20"/>
                <w:lang w:val="en-IN" w:eastAsia="en-IN"/>
              </w:rPr>
              <w:t>464613</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0"/>
                <w:szCs w:val="20"/>
                <w:lang w:val="en-IN" w:eastAsia="en-IN"/>
              </w:rPr>
            </w:pPr>
            <w:r w:rsidRPr="00F6064B">
              <w:rPr>
                <w:color w:val="000000"/>
                <w:sz w:val="20"/>
                <w:szCs w:val="20"/>
                <w:lang w:val="en-IN" w:eastAsia="en-IN"/>
              </w:rPr>
              <w:t>484510</w:t>
            </w:r>
          </w:p>
        </w:tc>
        <w:tc>
          <w:tcPr>
            <w:tcW w:w="461" w:type="pct"/>
            <w:tcBorders>
              <w:top w:val="single" w:sz="4" w:space="0" w:color="auto"/>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0"/>
                <w:szCs w:val="20"/>
                <w:lang w:val="en-IN" w:eastAsia="en-IN"/>
              </w:rPr>
            </w:pPr>
            <w:r w:rsidRPr="00F6064B">
              <w:rPr>
                <w:color w:val="000000"/>
                <w:sz w:val="20"/>
                <w:szCs w:val="20"/>
                <w:lang w:val="en-IN" w:eastAsia="en-IN"/>
              </w:rPr>
              <w:t>506829</w:t>
            </w:r>
          </w:p>
        </w:tc>
        <w:tc>
          <w:tcPr>
            <w:tcW w:w="459" w:type="pct"/>
            <w:tcBorders>
              <w:top w:val="single" w:sz="4" w:space="0" w:color="auto"/>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0"/>
                <w:szCs w:val="20"/>
                <w:lang w:val="en-IN" w:eastAsia="en-IN"/>
              </w:rPr>
            </w:pPr>
            <w:r w:rsidRPr="00F6064B">
              <w:rPr>
                <w:color w:val="000000"/>
                <w:sz w:val="20"/>
                <w:szCs w:val="20"/>
                <w:lang w:val="en-IN" w:eastAsia="en-IN"/>
              </w:rPr>
              <w:t>530206</w:t>
            </w:r>
          </w:p>
        </w:tc>
        <w:tc>
          <w:tcPr>
            <w:tcW w:w="428" w:type="pct"/>
            <w:tcBorders>
              <w:top w:val="single" w:sz="4" w:space="0" w:color="auto"/>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4.61%</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4.50%</w:t>
            </w:r>
          </w:p>
        </w:tc>
        <w:tc>
          <w:tcPr>
            <w:tcW w:w="471" w:type="pct"/>
            <w:tcBorders>
              <w:top w:val="single" w:sz="4" w:space="0" w:color="auto"/>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2.43%</w:t>
            </w:r>
          </w:p>
        </w:tc>
        <w:tc>
          <w:tcPr>
            <w:tcW w:w="486" w:type="pct"/>
            <w:tcBorders>
              <w:top w:val="single" w:sz="4" w:space="0" w:color="auto"/>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4.61%</w:t>
            </w:r>
          </w:p>
        </w:tc>
      </w:tr>
      <w:tr w:rsidR="009846CC" w:rsidRPr="00F6064B" w:rsidTr="000E7480">
        <w:trPr>
          <w:trHeight w:val="172"/>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9846CC" w:rsidRPr="00F6064B" w:rsidRDefault="009846CC" w:rsidP="00E16426">
            <w:pPr>
              <w:spacing w:line="240" w:lineRule="auto"/>
              <w:jc w:val="left"/>
              <w:rPr>
                <w:color w:val="000000"/>
                <w:sz w:val="20"/>
                <w:szCs w:val="20"/>
                <w:lang w:val="en-IN" w:eastAsia="en-IN"/>
              </w:rPr>
            </w:pPr>
            <w:r w:rsidRPr="00F6064B">
              <w:rPr>
                <w:color w:val="000000"/>
                <w:sz w:val="20"/>
                <w:szCs w:val="20"/>
                <w:lang w:val="en-IN" w:eastAsia="en-IN"/>
              </w:rPr>
              <w:t>OHOB</w:t>
            </w:r>
          </w:p>
        </w:tc>
        <w:tc>
          <w:tcPr>
            <w:tcW w:w="476"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0"/>
                <w:szCs w:val="20"/>
                <w:lang w:val="en-IN" w:eastAsia="en-IN"/>
              </w:rPr>
            </w:pPr>
            <w:r w:rsidRPr="00F6064B">
              <w:rPr>
                <w:color w:val="000000"/>
                <w:sz w:val="20"/>
                <w:szCs w:val="20"/>
                <w:lang w:val="en-IN" w:eastAsia="en-IN"/>
              </w:rPr>
              <w:t>2843</w:t>
            </w:r>
          </w:p>
        </w:tc>
        <w:tc>
          <w:tcPr>
            <w:tcW w:w="459"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0"/>
                <w:szCs w:val="20"/>
                <w:lang w:val="en-IN" w:eastAsia="en-IN"/>
              </w:rPr>
            </w:pPr>
            <w:r w:rsidRPr="00F6064B">
              <w:rPr>
                <w:color w:val="000000"/>
                <w:sz w:val="20"/>
                <w:szCs w:val="20"/>
                <w:lang w:val="en-IN" w:eastAsia="en-IN"/>
              </w:rPr>
              <w:t>2843</w:t>
            </w:r>
          </w:p>
        </w:tc>
        <w:tc>
          <w:tcPr>
            <w:tcW w:w="458"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0"/>
                <w:szCs w:val="20"/>
                <w:lang w:val="en-IN" w:eastAsia="en-IN"/>
              </w:rPr>
            </w:pPr>
            <w:r w:rsidRPr="00F6064B">
              <w:rPr>
                <w:color w:val="000000"/>
                <w:sz w:val="20"/>
                <w:szCs w:val="20"/>
                <w:lang w:val="en-IN" w:eastAsia="en-IN"/>
              </w:rPr>
              <w:t>2843</w:t>
            </w:r>
          </w:p>
        </w:tc>
        <w:tc>
          <w:tcPr>
            <w:tcW w:w="461"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0"/>
                <w:szCs w:val="20"/>
                <w:lang w:val="en-IN" w:eastAsia="en-IN"/>
              </w:rPr>
            </w:pPr>
            <w:r w:rsidRPr="00F6064B">
              <w:rPr>
                <w:color w:val="000000"/>
                <w:sz w:val="20"/>
                <w:szCs w:val="20"/>
                <w:lang w:val="en-IN" w:eastAsia="en-IN"/>
              </w:rPr>
              <w:t>2843</w:t>
            </w:r>
          </w:p>
        </w:tc>
        <w:tc>
          <w:tcPr>
            <w:tcW w:w="459"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0"/>
                <w:szCs w:val="20"/>
                <w:lang w:val="en-IN" w:eastAsia="en-IN"/>
              </w:rPr>
            </w:pPr>
            <w:r w:rsidRPr="00F6064B">
              <w:rPr>
                <w:color w:val="000000"/>
                <w:sz w:val="20"/>
                <w:szCs w:val="20"/>
                <w:lang w:val="en-IN" w:eastAsia="en-IN"/>
              </w:rPr>
              <w:t>2843</w:t>
            </w:r>
          </w:p>
        </w:tc>
        <w:tc>
          <w:tcPr>
            <w:tcW w:w="428"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0.00%</w:t>
            </w:r>
          </w:p>
        </w:tc>
        <w:tc>
          <w:tcPr>
            <w:tcW w:w="468"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0.00%</w:t>
            </w:r>
          </w:p>
        </w:tc>
        <w:tc>
          <w:tcPr>
            <w:tcW w:w="471"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0.00%</w:t>
            </w:r>
          </w:p>
        </w:tc>
        <w:tc>
          <w:tcPr>
            <w:tcW w:w="486"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0.00%</w:t>
            </w:r>
          </w:p>
        </w:tc>
      </w:tr>
      <w:tr w:rsidR="009846CC" w:rsidRPr="00F6064B" w:rsidTr="000E7480">
        <w:trPr>
          <w:trHeight w:val="172"/>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9846CC" w:rsidRPr="00F6064B" w:rsidRDefault="009846CC" w:rsidP="00E16426">
            <w:pPr>
              <w:spacing w:line="240" w:lineRule="auto"/>
              <w:jc w:val="left"/>
              <w:rPr>
                <w:color w:val="000000"/>
                <w:sz w:val="20"/>
                <w:szCs w:val="20"/>
                <w:lang w:val="en-IN" w:eastAsia="en-IN"/>
              </w:rPr>
            </w:pPr>
            <w:r w:rsidRPr="00F6064B">
              <w:rPr>
                <w:color w:val="000000"/>
                <w:sz w:val="20"/>
                <w:szCs w:val="20"/>
                <w:lang w:val="en-IN" w:eastAsia="en-IN"/>
              </w:rPr>
              <w:t>Commercial</w:t>
            </w:r>
          </w:p>
        </w:tc>
        <w:tc>
          <w:tcPr>
            <w:tcW w:w="476"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0"/>
                <w:szCs w:val="20"/>
                <w:lang w:val="en-IN" w:eastAsia="en-IN"/>
              </w:rPr>
            </w:pPr>
            <w:r w:rsidRPr="00F6064B">
              <w:rPr>
                <w:color w:val="000000"/>
                <w:sz w:val="20"/>
                <w:szCs w:val="20"/>
                <w:lang w:val="en-IN" w:eastAsia="en-IN"/>
              </w:rPr>
              <w:t>94945</w:t>
            </w:r>
          </w:p>
        </w:tc>
        <w:tc>
          <w:tcPr>
            <w:tcW w:w="459"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0"/>
                <w:szCs w:val="20"/>
                <w:lang w:val="en-IN" w:eastAsia="en-IN"/>
              </w:rPr>
            </w:pPr>
            <w:r w:rsidRPr="00F6064B">
              <w:rPr>
                <w:color w:val="000000"/>
                <w:sz w:val="20"/>
                <w:szCs w:val="20"/>
                <w:lang w:val="en-IN" w:eastAsia="en-IN"/>
              </w:rPr>
              <w:t>97345</w:t>
            </w:r>
          </w:p>
        </w:tc>
        <w:tc>
          <w:tcPr>
            <w:tcW w:w="458"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0"/>
                <w:szCs w:val="20"/>
                <w:lang w:val="en-IN" w:eastAsia="en-IN"/>
              </w:rPr>
            </w:pPr>
            <w:r w:rsidRPr="00F6064B">
              <w:rPr>
                <w:color w:val="000000"/>
                <w:sz w:val="20"/>
                <w:szCs w:val="20"/>
                <w:lang w:val="en-IN" w:eastAsia="en-IN"/>
              </w:rPr>
              <w:t>102331</w:t>
            </w:r>
          </w:p>
        </w:tc>
        <w:tc>
          <w:tcPr>
            <w:tcW w:w="461"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0"/>
                <w:szCs w:val="20"/>
                <w:lang w:val="en-IN" w:eastAsia="en-IN"/>
              </w:rPr>
            </w:pPr>
            <w:r w:rsidRPr="00F6064B">
              <w:rPr>
                <w:color w:val="000000"/>
                <w:sz w:val="20"/>
                <w:szCs w:val="20"/>
                <w:lang w:val="en-IN" w:eastAsia="en-IN"/>
              </w:rPr>
              <w:t>109627</w:t>
            </w:r>
          </w:p>
        </w:tc>
        <w:tc>
          <w:tcPr>
            <w:tcW w:w="459"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0"/>
                <w:szCs w:val="20"/>
                <w:lang w:val="en-IN" w:eastAsia="en-IN"/>
              </w:rPr>
            </w:pPr>
            <w:r w:rsidRPr="00F6064B">
              <w:rPr>
                <w:color w:val="000000"/>
                <w:sz w:val="20"/>
                <w:szCs w:val="20"/>
                <w:lang w:val="en-IN" w:eastAsia="en-IN"/>
              </w:rPr>
              <w:t>119092</w:t>
            </w:r>
          </w:p>
        </w:tc>
        <w:tc>
          <w:tcPr>
            <w:tcW w:w="428"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7.88%</w:t>
            </w:r>
          </w:p>
        </w:tc>
        <w:tc>
          <w:tcPr>
            <w:tcW w:w="468"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6.95%</w:t>
            </w:r>
          </w:p>
        </w:tc>
        <w:tc>
          <w:tcPr>
            <w:tcW w:w="471"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5.83%</w:t>
            </w:r>
          </w:p>
        </w:tc>
        <w:tc>
          <w:tcPr>
            <w:tcW w:w="486"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7.88%</w:t>
            </w:r>
          </w:p>
        </w:tc>
      </w:tr>
      <w:tr w:rsidR="009846CC" w:rsidRPr="00F6064B" w:rsidTr="000E7480">
        <w:trPr>
          <w:trHeight w:val="172"/>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9846CC" w:rsidRPr="00F6064B" w:rsidRDefault="009846CC" w:rsidP="00E16426">
            <w:pPr>
              <w:spacing w:line="240" w:lineRule="auto"/>
              <w:jc w:val="left"/>
              <w:rPr>
                <w:color w:val="000000"/>
                <w:sz w:val="20"/>
                <w:szCs w:val="20"/>
                <w:lang w:val="en-IN" w:eastAsia="en-IN"/>
              </w:rPr>
            </w:pPr>
            <w:r w:rsidRPr="00F6064B">
              <w:rPr>
                <w:color w:val="000000"/>
                <w:sz w:val="20"/>
                <w:szCs w:val="20"/>
                <w:lang w:val="en-IN" w:eastAsia="en-IN"/>
              </w:rPr>
              <w:t xml:space="preserve">Agriculture </w:t>
            </w:r>
          </w:p>
        </w:tc>
        <w:tc>
          <w:tcPr>
            <w:tcW w:w="476"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0"/>
                <w:szCs w:val="20"/>
                <w:lang w:val="en-IN" w:eastAsia="en-IN"/>
              </w:rPr>
            </w:pPr>
            <w:r w:rsidRPr="00F6064B">
              <w:rPr>
                <w:color w:val="000000"/>
                <w:sz w:val="20"/>
                <w:szCs w:val="20"/>
                <w:lang w:val="en-IN" w:eastAsia="en-IN"/>
              </w:rPr>
              <w:t>44654</w:t>
            </w:r>
          </w:p>
        </w:tc>
        <w:tc>
          <w:tcPr>
            <w:tcW w:w="459"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0"/>
                <w:szCs w:val="20"/>
                <w:lang w:val="en-IN" w:eastAsia="en-IN"/>
              </w:rPr>
            </w:pPr>
            <w:r w:rsidRPr="00F6064B">
              <w:rPr>
                <w:color w:val="000000"/>
                <w:sz w:val="20"/>
                <w:szCs w:val="20"/>
                <w:lang w:val="en-IN" w:eastAsia="en-IN"/>
              </w:rPr>
              <w:t>44654</w:t>
            </w:r>
          </w:p>
        </w:tc>
        <w:tc>
          <w:tcPr>
            <w:tcW w:w="458"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0"/>
                <w:szCs w:val="20"/>
                <w:lang w:val="en-IN" w:eastAsia="en-IN"/>
              </w:rPr>
            </w:pPr>
            <w:r w:rsidRPr="00F6064B">
              <w:rPr>
                <w:color w:val="000000"/>
                <w:sz w:val="20"/>
                <w:szCs w:val="20"/>
                <w:lang w:val="en-IN" w:eastAsia="en-IN"/>
              </w:rPr>
              <w:t>44654</w:t>
            </w:r>
          </w:p>
        </w:tc>
        <w:tc>
          <w:tcPr>
            <w:tcW w:w="461"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0"/>
                <w:szCs w:val="20"/>
                <w:lang w:val="en-IN" w:eastAsia="en-IN"/>
              </w:rPr>
            </w:pPr>
            <w:r w:rsidRPr="00F6064B">
              <w:rPr>
                <w:color w:val="000000"/>
                <w:sz w:val="20"/>
                <w:szCs w:val="20"/>
                <w:lang w:val="en-IN" w:eastAsia="en-IN"/>
              </w:rPr>
              <w:t>44654</w:t>
            </w:r>
          </w:p>
        </w:tc>
        <w:tc>
          <w:tcPr>
            <w:tcW w:w="459"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0"/>
                <w:szCs w:val="20"/>
                <w:lang w:val="en-IN" w:eastAsia="en-IN"/>
              </w:rPr>
            </w:pPr>
            <w:r w:rsidRPr="00F6064B">
              <w:rPr>
                <w:color w:val="000000"/>
                <w:sz w:val="20"/>
                <w:szCs w:val="20"/>
                <w:lang w:val="en-IN" w:eastAsia="en-IN"/>
              </w:rPr>
              <w:t>44654</w:t>
            </w:r>
          </w:p>
        </w:tc>
        <w:tc>
          <w:tcPr>
            <w:tcW w:w="428"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0.00%</w:t>
            </w:r>
          </w:p>
        </w:tc>
        <w:tc>
          <w:tcPr>
            <w:tcW w:w="468"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0.00%</w:t>
            </w:r>
          </w:p>
        </w:tc>
        <w:tc>
          <w:tcPr>
            <w:tcW w:w="471"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0.00%</w:t>
            </w:r>
          </w:p>
        </w:tc>
        <w:tc>
          <w:tcPr>
            <w:tcW w:w="486"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0.00%</w:t>
            </w:r>
          </w:p>
        </w:tc>
      </w:tr>
      <w:tr w:rsidR="009846CC" w:rsidRPr="00F6064B" w:rsidTr="000E7480">
        <w:trPr>
          <w:trHeight w:val="172"/>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9846CC" w:rsidRPr="00F6064B" w:rsidRDefault="009846CC" w:rsidP="00E16426">
            <w:pPr>
              <w:spacing w:line="240" w:lineRule="auto"/>
              <w:jc w:val="left"/>
              <w:rPr>
                <w:color w:val="000000"/>
                <w:sz w:val="20"/>
                <w:szCs w:val="20"/>
                <w:lang w:val="en-IN" w:eastAsia="en-IN"/>
              </w:rPr>
            </w:pPr>
            <w:r w:rsidRPr="00F6064B">
              <w:rPr>
                <w:color w:val="000000"/>
                <w:sz w:val="20"/>
                <w:szCs w:val="20"/>
                <w:lang w:val="en-IN" w:eastAsia="en-IN"/>
              </w:rPr>
              <w:t>Public lighting</w:t>
            </w:r>
          </w:p>
        </w:tc>
        <w:tc>
          <w:tcPr>
            <w:tcW w:w="476"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0"/>
                <w:szCs w:val="20"/>
                <w:lang w:val="en-IN" w:eastAsia="en-IN"/>
              </w:rPr>
            </w:pPr>
            <w:r w:rsidRPr="00F6064B">
              <w:rPr>
                <w:color w:val="000000"/>
                <w:sz w:val="20"/>
                <w:szCs w:val="20"/>
                <w:lang w:val="en-IN" w:eastAsia="en-IN"/>
              </w:rPr>
              <w:t>5936</w:t>
            </w:r>
          </w:p>
        </w:tc>
        <w:tc>
          <w:tcPr>
            <w:tcW w:w="459"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0"/>
                <w:szCs w:val="20"/>
                <w:lang w:val="en-IN" w:eastAsia="en-IN"/>
              </w:rPr>
            </w:pPr>
            <w:r w:rsidRPr="00F6064B">
              <w:rPr>
                <w:color w:val="000000"/>
                <w:sz w:val="20"/>
                <w:szCs w:val="20"/>
                <w:lang w:val="en-IN" w:eastAsia="en-IN"/>
              </w:rPr>
              <w:t>5971</w:t>
            </w:r>
          </w:p>
        </w:tc>
        <w:tc>
          <w:tcPr>
            <w:tcW w:w="458"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0"/>
                <w:szCs w:val="20"/>
                <w:lang w:val="en-IN" w:eastAsia="en-IN"/>
              </w:rPr>
            </w:pPr>
            <w:r w:rsidRPr="00F6064B">
              <w:rPr>
                <w:color w:val="000000"/>
                <w:sz w:val="20"/>
                <w:szCs w:val="20"/>
                <w:lang w:val="en-IN" w:eastAsia="en-IN"/>
              </w:rPr>
              <w:t>5998</w:t>
            </w:r>
          </w:p>
        </w:tc>
        <w:tc>
          <w:tcPr>
            <w:tcW w:w="461"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0"/>
                <w:szCs w:val="20"/>
                <w:lang w:val="en-IN" w:eastAsia="en-IN"/>
              </w:rPr>
            </w:pPr>
            <w:r w:rsidRPr="00F6064B">
              <w:rPr>
                <w:color w:val="000000"/>
                <w:sz w:val="20"/>
                <w:szCs w:val="20"/>
                <w:lang w:val="en-IN" w:eastAsia="en-IN"/>
              </w:rPr>
              <w:t>6058</w:t>
            </w:r>
          </w:p>
        </w:tc>
        <w:tc>
          <w:tcPr>
            <w:tcW w:w="459"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0"/>
                <w:szCs w:val="20"/>
                <w:lang w:val="en-IN" w:eastAsia="en-IN"/>
              </w:rPr>
            </w:pPr>
            <w:r w:rsidRPr="00F6064B">
              <w:rPr>
                <w:color w:val="000000"/>
                <w:sz w:val="20"/>
                <w:szCs w:val="20"/>
                <w:lang w:val="en-IN" w:eastAsia="en-IN"/>
              </w:rPr>
              <w:t>6119</w:t>
            </w:r>
          </w:p>
        </w:tc>
        <w:tc>
          <w:tcPr>
            <w:tcW w:w="428"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1.00%</w:t>
            </w:r>
          </w:p>
        </w:tc>
        <w:tc>
          <w:tcPr>
            <w:tcW w:w="468"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0.82%</w:t>
            </w:r>
          </w:p>
        </w:tc>
        <w:tc>
          <w:tcPr>
            <w:tcW w:w="471"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0.76%</w:t>
            </w:r>
          </w:p>
        </w:tc>
        <w:tc>
          <w:tcPr>
            <w:tcW w:w="486"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1.00%</w:t>
            </w:r>
          </w:p>
        </w:tc>
      </w:tr>
      <w:tr w:rsidR="009846CC" w:rsidRPr="00F6064B" w:rsidTr="000E7480">
        <w:trPr>
          <w:trHeight w:val="172"/>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9846CC" w:rsidRPr="00F6064B" w:rsidRDefault="009846CC" w:rsidP="00E16426">
            <w:pPr>
              <w:spacing w:line="240" w:lineRule="auto"/>
              <w:jc w:val="left"/>
              <w:rPr>
                <w:color w:val="000000"/>
                <w:sz w:val="20"/>
                <w:szCs w:val="20"/>
                <w:lang w:val="en-IN" w:eastAsia="en-IN"/>
              </w:rPr>
            </w:pPr>
            <w:r w:rsidRPr="00F6064B">
              <w:rPr>
                <w:color w:val="000000"/>
                <w:sz w:val="20"/>
                <w:szCs w:val="20"/>
                <w:lang w:val="en-IN" w:eastAsia="en-IN"/>
              </w:rPr>
              <w:t>LT Industrial &amp; water tank</w:t>
            </w:r>
          </w:p>
        </w:tc>
        <w:tc>
          <w:tcPr>
            <w:tcW w:w="476"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0"/>
                <w:szCs w:val="20"/>
                <w:lang w:val="en-IN" w:eastAsia="en-IN"/>
              </w:rPr>
            </w:pPr>
            <w:r w:rsidRPr="00F6064B">
              <w:rPr>
                <w:color w:val="000000"/>
                <w:sz w:val="20"/>
                <w:szCs w:val="20"/>
                <w:lang w:val="en-IN" w:eastAsia="en-IN"/>
              </w:rPr>
              <w:t>115406</w:t>
            </w:r>
          </w:p>
        </w:tc>
        <w:tc>
          <w:tcPr>
            <w:tcW w:w="459"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0"/>
                <w:szCs w:val="20"/>
                <w:lang w:val="en-IN" w:eastAsia="en-IN"/>
              </w:rPr>
            </w:pPr>
            <w:r w:rsidRPr="00F6064B">
              <w:rPr>
                <w:color w:val="000000"/>
                <w:sz w:val="20"/>
                <w:szCs w:val="20"/>
                <w:lang w:val="en-IN" w:eastAsia="en-IN"/>
              </w:rPr>
              <w:t>116954</w:t>
            </w:r>
          </w:p>
        </w:tc>
        <w:tc>
          <w:tcPr>
            <w:tcW w:w="458"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0"/>
                <w:szCs w:val="20"/>
                <w:lang w:val="en-IN" w:eastAsia="en-IN"/>
              </w:rPr>
            </w:pPr>
            <w:r w:rsidRPr="00F6064B">
              <w:rPr>
                <w:color w:val="000000"/>
                <w:sz w:val="20"/>
                <w:szCs w:val="20"/>
                <w:lang w:val="en-IN" w:eastAsia="en-IN"/>
              </w:rPr>
              <w:t>120428</w:t>
            </w:r>
          </w:p>
        </w:tc>
        <w:tc>
          <w:tcPr>
            <w:tcW w:w="461"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0"/>
                <w:szCs w:val="20"/>
                <w:lang w:val="en-IN" w:eastAsia="en-IN"/>
              </w:rPr>
            </w:pPr>
            <w:r w:rsidRPr="00F6064B">
              <w:rPr>
                <w:color w:val="000000"/>
                <w:sz w:val="20"/>
                <w:szCs w:val="20"/>
                <w:lang w:val="en-IN" w:eastAsia="en-IN"/>
              </w:rPr>
              <w:t>122804</w:t>
            </w:r>
          </w:p>
        </w:tc>
        <w:tc>
          <w:tcPr>
            <w:tcW w:w="459"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0"/>
                <w:szCs w:val="20"/>
                <w:lang w:val="en-IN" w:eastAsia="en-IN"/>
              </w:rPr>
            </w:pPr>
            <w:r w:rsidRPr="00F6064B">
              <w:rPr>
                <w:color w:val="000000"/>
                <w:sz w:val="20"/>
                <w:szCs w:val="20"/>
                <w:lang w:val="en-IN" w:eastAsia="en-IN"/>
              </w:rPr>
              <w:t>125234</w:t>
            </w:r>
          </w:p>
        </w:tc>
        <w:tc>
          <w:tcPr>
            <w:tcW w:w="428"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1.98%</w:t>
            </w:r>
          </w:p>
        </w:tc>
        <w:tc>
          <w:tcPr>
            <w:tcW w:w="468"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2.31%</w:t>
            </w:r>
          </w:p>
        </w:tc>
        <w:tc>
          <w:tcPr>
            <w:tcW w:w="471"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2.06%</w:t>
            </w:r>
          </w:p>
        </w:tc>
        <w:tc>
          <w:tcPr>
            <w:tcW w:w="486"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1.98%</w:t>
            </w:r>
          </w:p>
        </w:tc>
      </w:tr>
      <w:tr w:rsidR="009846CC" w:rsidRPr="00F6064B" w:rsidTr="000E7480">
        <w:trPr>
          <w:trHeight w:val="172"/>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9846CC" w:rsidRPr="00F6064B" w:rsidRDefault="009846CC" w:rsidP="00E16426">
            <w:pPr>
              <w:spacing w:line="240" w:lineRule="auto"/>
              <w:jc w:val="left"/>
              <w:rPr>
                <w:color w:val="000000"/>
                <w:sz w:val="20"/>
                <w:szCs w:val="20"/>
                <w:lang w:val="en-IN" w:eastAsia="en-IN"/>
              </w:rPr>
            </w:pPr>
            <w:r w:rsidRPr="00F6064B">
              <w:rPr>
                <w:color w:val="000000"/>
                <w:sz w:val="20"/>
                <w:szCs w:val="20"/>
                <w:lang w:val="en-IN" w:eastAsia="en-IN"/>
              </w:rPr>
              <w:t>HT 1</w:t>
            </w:r>
          </w:p>
        </w:tc>
        <w:tc>
          <w:tcPr>
            <w:tcW w:w="476"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0"/>
                <w:szCs w:val="20"/>
                <w:lang w:val="en-IN" w:eastAsia="en-IN"/>
              </w:rPr>
            </w:pPr>
            <w:r w:rsidRPr="00F6064B">
              <w:rPr>
                <w:color w:val="000000"/>
                <w:sz w:val="20"/>
                <w:szCs w:val="20"/>
                <w:lang w:val="en-IN" w:eastAsia="en-IN"/>
              </w:rPr>
              <w:t>290950</w:t>
            </w:r>
          </w:p>
        </w:tc>
        <w:tc>
          <w:tcPr>
            <w:tcW w:w="459"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0"/>
                <w:szCs w:val="20"/>
                <w:lang w:val="en-IN" w:eastAsia="en-IN"/>
              </w:rPr>
            </w:pPr>
            <w:r w:rsidRPr="00F6064B">
              <w:rPr>
                <w:color w:val="000000"/>
                <w:sz w:val="20"/>
                <w:szCs w:val="20"/>
                <w:lang w:val="en-IN" w:eastAsia="en-IN"/>
              </w:rPr>
              <w:t>312731</w:t>
            </w:r>
          </w:p>
        </w:tc>
        <w:tc>
          <w:tcPr>
            <w:tcW w:w="458"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0"/>
                <w:szCs w:val="20"/>
                <w:lang w:val="en-IN" w:eastAsia="en-IN"/>
              </w:rPr>
            </w:pPr>
            <w:r w:rsidRPr="00F6064B">
              <w:rPr>
                <w:color w:val="000000"/>
                <w:sz w:val="20"/>
                <w:szCs w:val="20"/>
                <w:lang w:val="en-IN" w:eastAsia="en-IN"/>
              </w:rPr>
              <w:t>322656</w:t>
            </w:r>
          </w:p>
        </w:tc>
        <w:tc>
          <w:tcPr>
            <w:tcW w:w="461"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0"/>
                <w:szCs w:val="20"/>
                <w:lang w:val="en-IN" w:eastAsia="en-IN"/>
              </w:rPr>
            </w:pPr>
            <w:r w:rsidRPr="00F6064B">
              <w:rPr>
                <w:color w:val="000000"/>
                <w:sz w:val="20"/>
                <w:szCs w:val="20"/>
                <w:lang w:val="en-IN" w:eastAsia="en-IN"/>
              </w:rPr>
              <w:t>333098</w:t>
            </w:r>
          </w:p>
        </w:tc>
        <w:tc>
          <w:tcPr>
            <w:tcW w:w="459"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0"/>
                <w:szCs w:val="20"/>
                <w:lang w:val="en-IN" w:eastAsia="en-IN"/>
              </w:rPr>
            </w:pPr>
            <w:r w:rsidRPr="00F6064B">
              <w:rPr>
                <w:color w:val="000000"/>
                <w:sz w:val="20"/>
                <w:szCs w:val="20"/>
                <w:lang w:val="en-IN" w:eastAsia="en-IN"/>
              </w:rPr>
              <w:t>344093</w:t>
            </w:r>
          </w:p>
        </w:tc>
        <w:tc>
          <w:tcPr>
            <w:tcW w:w="428"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3.27%</w:t>
            </w:r>
          </w:p>
        </w:tc>
        <w:tc>
          <w:tcPr>
            <w:tcW w:w="468"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3.24%</w:t>
            </w:r>
          </w:p>
        </w:tc>
        <w:tc>
          <w:tcPr>
            <w:tcW w:w="471"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4.28%</w:t>
            </w:r>
          </w:p>
        </w:tc>
        <w:tc>
          <w:tcPr>
            <w:tcW w:w="486"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3.27%</w:t>
            </w:r>
          </w:p>
        </w:tc>
      </w:tr>
      <w:tr w:rsidR="009846CC" w:rsidRPr="00F6064B" w:rsidTr="000E7480">
        <w:trPr>
          <w:trHeight w:val="172"/>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9846CC" w:rsidRPr="00F6064B" w:rsidRDefault="009846CC" w:rsidP="00E16426">
            <w:pPr>
              <w:spacing w:line="240" w:lineRule="auto"/>
              <w:jc w:val="left"/>
              <w:rPr>
                <w:color w:val="000000"/>
                <w:sz w:val="20"/>
                <w:szCs w:val="20"/>
                <w:lang w:val="en-IN" w:eastAsia="en-IN"/>
              </w:rPr>
            </w:pPr>
            <w:r w:rsidRPr="00F6064B">
              <w:rPr>
                <w:color w:val="000000"/>
                <w:sz w:val="20"/>
                <w:szCs w:val="20"/>
                <w:lang w:val="en-IN" w:eastAsia="en-IN"/>
              </w:rPr>
              <w:t>HT 2 - Government &amp; water tank</w:t>
            </w:r>
          </w:p>
        </w:tc>
        <w:tc>
          <w:tcPr>
            <w:tcW w:w="476"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0"/>
                <w:szCs w:val="20"/>
                <w:lang w:val="en-IN" w:eastAsia="en-IN"/>
              </w:rPr>
            </w:pPr>
            <w:r w:rsidRPr="00F6064B">
              <w:rPr>
                <w:color w:val="000000"/>
                <w:sz w:val="20"/>
                <w:szCs w:val="20"/>
                <w:lang w:val="en-IN" w:eastAsia="en-IN"/>
              </w:rPr>
              <w:t>18500</w:t>
            </w:r>
          </w:p>
        </w:tc>
        <w:tc>
          <w:tcPr>
            <w:tcW w:w="459"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0"/>
                <w:szCs w:val="20"/>
                <w:lang w:val="en-IN" w:eastAsia="en-IN"/>
              </w:rPr>
            </w:pPr>
            <w:r w:rsidRPr="00F6064B">
              <w:rPr>
                <w:color w:val="000000"/>
                <w:sz w:val="20"/>
                <w:szCs w:val="20"/>
                <w:lang w:val="en-IN" w:eastAsia="en-IN"/>
              </w:rPr>
              <w:t>22918</w:t>
            </w:r>
          </w:p>
        </w:tc>
        <w:tc>
          <w:tcPr>
            <w:tcW w:w="458"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0"/>
                <w:szCs w:val="20"/>
                <w:lang w:val="en-IN" w:eastAsia="en-IN"/>
              </w:rPr>
            </w:pPr>
            <w:r w:rsidRPr="00F6064B">
              <w:rPr>
                <w:color w:val="000000"/>
                <w:sz w:val="20"/>
                <w:szCs w:val="20"/>
                <w:lang w:val="en-IN" w:eastAsia="en-IN"/>
              </w:rPr>
              <w:t>25210</w:t>
            </w:r>
          </w:p>
        </w:tc>
        <w:tc>
          <w:tcPr>
            <w:tcW w:w="461"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0"/>
                <w:szCs w:val="20"/>
                <w:lang w:val="en-IN" w:eastAsia="en-IN"/>
              </w:rPr>
            </w:pPr>
            <w:r w:rsidRPr="00F6064B">
              <w:rPr>
                <w:color w:val="000000"/>
                <w:sz w:val="20"/>
                <w:szCs w:val="20"/>
                <w:lang w:val="en-IN" w:eastAsia="en-IN"/>
              </w:rPr>
              <w:t>27731</w:t>
            </w:r>
          </w:p>
        </w:tc>
        <w:tc>
          <w:tcPr>
            <w:tcW w:w="459"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0"/>
                <w:szCs w:val="20"/>
                <w:lang w:val="en-IN" w:eastAsia="en-IN"/>
              </w:rPr>
            </w:pPr>
            <w:r w:rsidRPr="00F6064B">
              <w:rPr>
                <w:color w:val="000000"/>
                <w:sz w:val="20"/>
                <w:szCs w:val="20"/>
                <w:lang w:val="en-IN" w:eastAsia="en-IN"/>
              </w:rPr>
              <w:t>30504</w:t>
            </w:r>
          </w:p>
        </w:tc>
        <w:tc>
          <w:tcPr>
            <w:tcW w:w="428"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10.00%</w:t>
            </w:r>
          </w:p>
        </w:tc>
        <w:tc>
          <w:tcPr>
            <w:tcW w:w="468"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10.00%</w:t>
            </w:r>
          </w:p>
        </w:tc>
        <w:tc>
          <w:tcPr>
            <w:tcW w:w="471"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13.32%</w:t>
            </w:r>
          </w:p>
        </w:tc>
        <w:tc>
          <w:tcPr>
            <w:tcW w:w="486"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10.00%</w:t>
            </w:r>
          </w:p>
        </w:tc>
      </w:tr>
      <w:tr w:rsidR="009846CC" w:rsidRPr="00F6064B" w:rsidTr="000E7480">
        <w:trPr>
          <w:trHeight w:val="172"/>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9846CC" w:rsidRPr="00F6064B" w:rsidRDefault="009846CC" w:rsidP="00E16426">
            <w:pPr>
              <w:spacing w:line="240" w:lineRule="auto"/>
              <w:jc w:val="left"/>
              <w:rPr>
                <w:color w:val="000000"/>
                <w:sz w:val="20"/>
                <w:szCs w:val="20"/>
                <w:lang w:val="en-IN" w:eastAsia="en-IN"/>
              </w:rPr>
            </w:pPr>
            <w:r w:rsidRPr="00F6064B">
              <w:rPr>
                <w:color w:val="000000"/>
                <w:sz w:val="20"/>
                <w:szCs w:val="20"/>
                <w:lang w:val="en-IN" w:eastAsia="en-IN"/>
              </w:rPr>
              <w:t>HT 3 – EHT</w:t>
            </w:r>
          </w:p>
        </w:tc>
        <w:tc>
          <w:tcPr>
            <w:tcW w:w="476"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0"/>
                <w:szCs w:val="20"/>
                <w:lang w:val="en-IN" w:eastAsia="en-IN"/>
              </w:rPr>
            </w:pPr>
            <w:r w:rsidRPr="00F6064B">
              <w:rPr>
                <w:color w:val="000000"/>
                <w:sz w:val="20"/>
                <w:szCs w:val="20"/>
                <w:lang w:val="en-IN" w:eastAsia="en-IN"/>
              </w:rPr>
              <w:t>90500</w:t>
            </w:r>
          </w:p>
        </w:tc>
        <w:tc>
          <w:tcPr>
            <w:tcW w:w="459"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0"/>
                <w:szCs w:val="20"/>
                <w:lang w:val="en-IN" w:eastAsia="en-IN"/>
              </w:rPr>
            </w:pPr>
            <w:r w:rsidRPr="00F6064B">
              <w:rPr>
                <w:color w:val="000000"/>
                <w:sz w:val="20"/>
                <w:szCs w:val="20"/>
                <w:lang w:val="en-IN" w:eastAsia="en-IN"/>
              </w:rPr>
              <w:t>104483</w:t>
            </w:r>
          </w:p>
        </w:tc>
        <w:tc>
          <w:tcPr>
            <w:tcW w:w="458"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0"/>
                <w:szCs w:val="20"/>
                <w:lang w:val="en-IN" w:eastAsia="en-IN"/>
              </w:rPr>
            </w:pPr>
            <w:r w:rsidRPr="00F6064B">
              <w:rPr>
                <w:color w:val="000000"/>
                <w:sz w:val="20"/>
                <w:szCs w:val="20"/>
                <w:lang w:val="en-IN" w:eastAsia="en-IN"/>
              </w:rPr>
              <w:t>109695</w:t>
            </w:r>
          </w:p>
        </w:tc>
        <w:tc>
          <w:tcPr>
            <w:tcW w:w="461"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0"/>
                <w:szCs w:val="20"/>
                <w:lang w:val="en-IN" w:eastAsia="en-IN"/>
              </w:rPr>
            </w:pPr>
            <w:r w:rsidRPr="00F6064B">
              <w:rPr>
                <w:color w:val="000000"/>
                <w:sz w:val="20"/>
                <w:szCs w:val="20"/>
                <w:lang w:val="en-IN" w:eastAsia="en-IN"/>
              </w:rPr>
              <w:t>115167</w:t>
            </w:r>
          </w:p>
        </w:tc>
        <w:tc>
          <w:tcPr>
            <w:tcW w:w="459"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0"/>
                <w:szCs w:val="20"/>
                <w:lang w:val="en-IN" w:eastAsia="en-IN"/>
              </w:rPr>
            </w:pPr>
            <w:r w:rsidRPr="00F6064B">
              <w:rPr>
                <w:color w:val="000000"/>
                <w:sz w:val="20"/>
                <w:szCs w:val="20"/>
                <w:lang w:val="en-IN" w:eastAsia="en-IN"/>
              </w:rPr>
              <w:t>120912</w:t>
            </w:r>
          </w:p>
        </w:tc>
        <w:tc>
          <w:tcPr>
            <w:tcW w:w="428"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4.99%</w:t>
            </w:r>
          </w:p>
        </w:tc>
        <w:tc>
          <w:tcPr>
            <w:tcW w:w="468"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4.99%</w:t>
            </w:r>
          </w:p>
        </w:tc>
        <w:tc>
          <w:tcPr>
            <w:tcW w:w="471"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7.51%</w:t>
            </w:r>
          </w:p>
        </w:tc>
        <w:tc>
          <w:tcPr>
            <w:tcW w:w="486"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color w:val="000000"/>
                <w:sz w:val="22"/>
                <w:szCs w:val="22"/>
                <w:lang w:val="en-IN" w:eastAsia="en-IN"/>
              </w:rPr>
            </w:pPr>
            <w:r w:rsidRPr="00F6064B">
              <w:rPr>
                <w:color w:val="000000"/>
                <w:sz w:val="22"/>
                <w:szCs w:val="22"/>
                <w:lang w:val="en-IN" w:eastAsia="en-IN"/>
              </w:rPr>
              <w:t>4.99%</w:t>
            </w:r>
          </w:p>
        </w:tc>
      </w:tr>
      <w:tr w:rsidR="009846CC" w:rsidRPr="00F6064B" w:rsidTr="000E7480">
        <w:trPr>
          <w:trHeight w:val="172"/>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9846CC" w:rsidRPr="00F6064B" w:rsidRDefault="009846CC" w:rsidP="00E16426">
            <w:pPr>
              <w:spacing w:line="240" w:lineRule="auto"/>
              <w:jc w:val="left"/>
              <w:rPr>
                <w:b/>
                <w:bCs/>
                <w:color w:val="000000"/>
                <w:sz w:val="20"/>
                <w:szCs w:val="20"/>
                <w:lang w:val="en-IN" w:eastAsia="en-IN"/>
              </w:rPr>
            </w:pPr>
            <w:r w:rsidRPr="00F6064B">
              <w:rPr>
                <w:b/>
                <w:bCs/>
                <w:color w:val="000000"/>
                <w:sz w:val="20"/>
                <w:szCs w:val="20"/>
                <w:lang w:val="en-IN" w:eastAsia="en-IN"/>
              </w:rPr>
              <w:t>Total</w:t>
            </w:r>
          </w:p>
        </w:tc>
        <w:tc>
          <w:tcPr>
            <w:tcW w:w="476"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b/>
                <w:bCs/>
                <w:color w:val="000000"/>
                <w:sz w:val="20"/>
                <w:szCs w:val="20"/>
                <w:lang w:val="en-IN" w:eastAsia="en-IN"/>
              </w:rPr>
            </w:pPr>
            <w:r w:rsidRPr="00F6064B">
              <w:rPr>
                <w:b/>
                <w:bCs/>
                <w:color w:val="000000"/>
                <w:sz w:val="20"/>
                <w:szCs w:val="20"/>
                <w:lang w:val="en-IN" w:eastAsia="en-IN"/>
              </w:rPr>
              <w:t>1145314</w:t>
            </w:r>
          </w:p>
        </w:tc>
        <w:tc>
          <w:tcPr>
            <w:tcW w:w="459"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b/>
                <w:bCs/>
                <w:color w:val="000000"/>
                <w:sz w:val="20"/>
                <w:szCs w:val="20"/>
                <w:lang w:val="en-IN" w:eastAsia="en-IN"/>
              </w:rPr>
            </w:pPr>
            <w:r w:rsidRPr="00F6064B">
              <w:rPr>
                <w:b/>
                <w:bCs/>
                <w:color w:val="000000"/>
                <w:sz w:val="20"/>
                <w:szCs w:val="20"/>
                <w:lang w:val="en-IN" w:eastAsia="en-IN"/>
              </w:rPr>
              <w:t>1172511</w:t>
            </w:r>
          </w:p>
        </w:tc>
        <w:tc>
          <w:tcPr>
            <w:tcW w:w="458"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b/>
                <w:bCs/>
                <w:color w:val="000000"/>
                <w:sz w:val="20"/>
                <w:szCs w:val="20"/>
                <w:lang w:val="en-IN" w:eastAsia="en-IN"/>
              </w:rPr>
            </w:pPr>
            <w:r w:rsidRPr="00F6064B">
              <w:rPr>
                <w:b/>
                <w:bCs/>
                <w:color w:val="000000"/>
                <w:sz w:val="20"/>
                <w:szCs w:val="20"/>
                <w:lang w:val="en-IN" w:eastAsia="en-IN"/>
              </w:rPr>
              <w:t>1218325</w:t>
            </w:r>
          </w:p>
        </w:tc>
        <w:tc>
          <w:tcPr>
            <w:tcW w:w="461"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b/>
                <w:bCs/>
                <w:color w:val="000000"/>
                <w:sz w:val="20"/>
                <w:szCs w:val="20"/>
                <w:lang w:val="en-IN" w:eastAsia="en-IN"/>
              </w:rPr>
            </w:pPr>
            <w:r w:rsidRPr="00F6064B">
              <w:rPr>
                <w:b/>
                <w:bCs/>
                <w:color w:val="000000"/>
                <w:sz w:val="20"/>
                <w:szCs w:val="20"/>
                <w:lang w:val="en-IN" w:eastAsia="en-IN"/>
              </w:rPr>
              <w:t>1268810</w:t>
            </w:r>
          </w:p>
        </w:tc>
        <w:tc>
          <w:tcPr>
            <w:tcW w:w="459" w:type="pct"/>
            <w:tcBorders>
              <w:top w:val="nil"/>
              <w:left w:val="nil"/>
              <w:bottom w:val="single" w:sz="4" w:space="0" w:color="auto"/>
              <w:right w:val="single" w:sz="4" w:space="0" w:color="auto"/>
            </w:tcBorders>
            <w:shd w:val="clear" w:color="auto" w:fill="auto"/>
            <w:noWrap/>
            <w:vAlign w:val="center"/>
            <w:hideMark/>
          </w:tcPr>
          <w:p w:rsidR="009846CC" w:rsidRPr="00F6064B" w:rsidRDefault="009846CC" w:rsidP="00735CAB">
            <w:pPr>
              <w:spacing w:line="240" w:lineRule="auto"/>
              <w:jc w:val="right"/>
              <w:rPr>
                <w:b/>
                <w:bCs/>
                <w:color w:val="000000"/>
                <w:sz w:val="20"/>
                <w:szCs w:val="20"/>
                <w:lang w:val="en-IN" w:eastAsia="en-IN"/>
              </w:rPr>
            </w:pPr>
            <w:r w:rsidRPr="00F6064B">
              <w:rPr>
                <w:b/>
                <w:bCs/>
                <w:color w:val="000000"/>
                <w:sz w:val="20"/>
                <w:szCs w:val="20"/>
                <w:lang w:val="en-IN" w:eastAsia="en-IN"/>
              </w:rPr>
              <w:t>1323657</w:t>
            </w:r>
          </w:p>
        </w:tc>
        <w:tc>
          <w:tcPr>
            <w:tcW w:w="428" w:type="pct"/>
            <w:tcBorders>
              <w:top w:val="nil"/>
              <w:left w:val="nil"/>
              <w:bottom w:val="single" w:sz="4" w:space="0" w:color="auto"/>
              <w:right w:val="single" w:sz="4" w:space="0" w:color="auto"/>
            </w:tcBorders>
            <w:shd w:val="clear" w:color="auto" w:fill="auto"/>
            <w:noWrap/>
            <w:vAlign w:val="center"/>
          </w:tcPr>
          <w:p w:rsidR="009846CC" w:rsidRPr="00F6064B" w:rsidRDefault="009846CC" w:rsidP="00735CAB">
            <w:pPr>
              <w:spacing w:line="240" w:lineRule="auto"/>
              <w:jc w:val="right"/>
              <w:rPr>
                <w:b/>
                <w:bCs/>
                <w:color w:val="000000"/>
                <w:sz w:val="20"/>
                <w:szCs w:val="20"/>
                <w:lang w:val="en-IN" w:eastAsia="en-IN"/>
              </w:rPr>
            </w:pPr>
          </w:p>
        </w:tc>
        <w:tc>
          <w:tcPr>
            <w:tcW w:w="468" w:type="pct"/>
            <w:tcBorders>
              <w:top w:val="nil"/>
              <w:left w:val="nil"/>
              <w:bottom w:val="single" w:sz="4" w:space="0" w:color="auto"/>
              <w:right w:val="single" w:sz="4" w:space="0" w:color="auto"/>
            </w:tcBorders>
            <w:shd w:val="clear" w:color="auto" w:fill="auto"/>
            <w:noWrap/>
            <w:vAlign w:val="center"/>
          </w:tcPr>
          <w:p w:rsidR="009846CC" w:rsidRPr="00F6064B" w:rsidRDefault="009846CC" w:rsidP="00735CAB">
            <w:pPr>
              <w:spacing w:line="240" w:lineRule="auto"/>
              <w:jc w:val="right"/>
              <w:rPr>
                <w:b/>
                <w:bCs/>
                <w:color w:val="000000"/>
                <w:sz w:val="20"/>
                <w:szCs w:val="20"/>
                <w:lang w:val="en-IN" w:eastAsia="en-IN"/>
              </w:rPr>
            </w:pPr>
          </w:p>
        </w:tc>
        <w:tc>
          <w:tcPr>
            <w:tcW w:w="471" w:type="pct"/>
            <w:tcBorders>
              <w:top w:val="nil"/>
              <w:left w:val="nil"/>
              <w:bottom w:val="single" w:sz="4" w:space="0" w:color="auto"/>
              <w:right w:val="single" w:sz="4" w:space="0" w:color="auto"/>
            </w:tcBorders>
            <w:shd w:val="clear" w:color="auto" w:fill="auto"/>
            <w:noWrap/>
            <w:vAlign w:val="center"/>
          </w:tcPr>
          <w:p w:rsidR="009846CC" w:rsidRPr="00F6064B" w:rsidRDefault="009846CC" w:rsidP="00735CAB">
            <w:pPr>
              <w:spacing w:line="240" w:lineRule="auto"/>
              <w:jc w:val="right"/>
              <w:rPr>
                <w:b/>
                <w:bCs/>
                <w:color w:val="000000"/>
                <w:sz w:val="20"/>
                <w:szCs w:val="20"/>
                <w:lang w:val="en-IN" w:eastAsia="en-IN"/>
              </w:rPr>
            </w:pPr>
          </w:p>
        </w:tc>
        <w:tc>
          <w:tcPr>
            <w:tcW w:w="486" w:type="pct"/>
            <w:tcBorders>
              <w:top w:val="nil"/>
              <w:left w:val="nil"/>
              <w:bottom w:val="single" w:sz="4" w:space="0" w:color="auto"/>
              <w:right w:val="single" w:sz="4" w:space="0" w:color="auto"/>
            </w:tcBorders>
            <w:shd w:val="clear" w:color="auto" w:fill="auto"/>
            <w:noWrap/>
            <w:vAlign w:val="center"/>
          </w:tcPr>
          <w:p w:rsidR="009846CC" w:rsidRPr="00F6064B" w:rsidRDefault="009846CC" w:rsidP="00735CAB">
            <w:pPr>
              <w:spacing w:line="240" w:lineRule="auto"/>
              <w:jc w:val="right"/>
              <w:rPr>
                <w:b/>
                <w:bCs/>
                <w:color w:val="000000"/>
                <w:sz w:val="20"/>
                <w:szCs w:val="20"/>
                <w:lang w:val="en-IN" w:eastAsia="en-IN"/>
              </w:rPr>
            </w:pPr>
          </w:p>
        </w:tc>
      </w:tr>
    </w:tbl>
    <w:p w:rsidR="009846CC" w:rsidRPr="009A6247" w:rsidRDefault="009846CC" w:rsidP="009846CC">
      <w:pPr>
        <w:spacing w:line="240" w:lineRule="auto"/>
        <w:jc w:val="center"/>
        <w:rPr>
          <w:color w:val="000000"/>
          <w:szCs w:val="22"/>
          <w:lang w:val="en-IN" w:eastAsia="en-IN"/>
        </w:rPr>
      </w:pPr>
    </w:p>
    <w:p w:rsidR="009846CC" w:rsidRDefault="009846CC" w:rsidP="00061AA6">
      <w:pPr>
        <w:pStyle w:val="Caption"/>
      </w:pPr>
      <w:bookmarkStart w:id="86" w:name="_Toc523719571"/>
      <w:r>
        <w:t xml:space="preserve">Table </w:t>
      </w:r>
      <w:r w:rsidR="00140E1B">
        <w:fldChar w:fldCharType="begin"/>
      </w:r>
      <w:r>
        <w:instrText xml:space="preserve"> SEQ Table \* ARABIC </w:instrText>
      </w:r>
      <w:r w:rsidR="00140E1B">
        <w:fldChar w:fldCharType="separate"/>
      </w:r>
      <w:r w:rsidR="004B7EE5">
        <w:rPr>
          <w:noProof/>
        </w:rPr>
        <w:t>12</w:t>
      </w:r>
      <w:r w:rsidR="00140E1B">
        <w:rPr>
          <w:noProof/>
        </w:rPr>
        <w:fldChar w:fldCharType="end"/>
      </w:r>
      <w:r w:rsidRPr="00E57D4A">
        <w:t>: Summary of Category-wise</w:t>
      </w:r>
      <w:r>
        <w:t xml:space="preserve"> Sales/Demand</w:t>
      </w:r>
      <w:r w:rsidRPr="00E57D4A">
        <w:t xml:space="preserve"> Growth Rate Considered for Projections</w:t>
      </w:r>
      <w:bookmarkEnd w:id="86"/>
    </w:p>
    <w:tbl>
      <w:tblPr>
        <w:tblW w:w="5728" w:type="pct"/>
        <w:tblInd w:w="-318" w:type="dxa"/>
        <w:tblLayout w:type="fixed"/>
        <w:tblLook w:val="04A0"/>
      </w:tblPr>
      <w:tblGrid>
        <w:gridCol w:w="1474"/>
        <w:gridCol w:w="1089"/>
        <w:gridCol w:w="1091"/>
        <w:gridCol w:w="1063"/>
        <w:gridCol w:w="981"/>
        <w:gridCol w:w="1044"/>
        <w:gridCol w:w="981"/>
        <w:gridCol w:w="979"/>
        <w:gridCol w:w="974"/>
        <w:gridCol w:w="915"/>
      </w:tblGrid>
      <w:tr w:rsidR="009846CC" w:rsidRPr="00E6181D" w:rsidTr="000E7480">
        <w:trPr>
          <w:trHeight w:val="302"/>
        </w:trPr>
        <w:tc>
          <w:tcPr>
            <w:tcW w:w="696" w:type="pct"/>
            <w:vMerge w:val="restart"/>
            <w:tcBorders>
              <w:top w:val="single" w:sz="4" w:space="0" w:color="auto"/>
              <w:left w:val="single" w:sz="4" w:space="0" w:color="auto"/>
              <w:bottom w:val="single" w:sz="4" w:space="0" w:color="auto"/>
              <w:right w:val="single" w:sz="4" w:space="0" w:color="auto"/>
            </w:tcBorders>
            <w:shd w:val="clear" w:color="000000" w:fill="ACB9CA"/>
            <w:noWrap/>
            <w:vAlign w:val="center"/>
            <w:hideMark/>
          </w:tcPr>
          <w:p w:rsidR="009846CC" w:rsidRPr="00E6181D" w:rsidRDefault="009846CC" w:rsidP="00E16426">
            <w:pPr>
              <w:spacing w:line="240" w:lineRule="auto"/>
              <w:jc w:val="center"/>
              <w:rPr>
                <w:b/>
                <w:bCs/>
                <w:sz w:val="22"/>
                <w:szCs w:val="22"/>
                <w:lang w:val="en-IN" w:eastAsia="en-IN"/>
              </w:rPr>
            </w:pPr>
            <w:r w:rsidRPr="00E6181D">
              <w:rPr>
                <w:b/>
                <w:bCs/>
                <w:sz w:val="22"/>
                <w:szCs w:val="22"/>
                <w:lang w:val="en-IN" w:eastAsia="en-IN"/>
              </w:rPr>
              <w:t>Sales(MU)</w:t>
            </w:r>
          </w:p>
        </w:tc>
        <w:tc>
          <w:tcPr>
            <w:tcW w:w="2487" w:type="pct"/>
            <w:gridSpan w:val="5"/>
            <w:tcBorders>
              <w:top w:val="single" w:sz="4" w:space="0" w:color="auto"/>
              <w:left w:val="nil"/>
              <w:bottom w:val="single" w:sz="4" w:space="0" w:color="auto"/>
              <w:right w:val="single" w:sz="4" w:space="0" w:color="auto"/>
            </w:tcBorders>
            <w:shd w:val="clear" w:color="000000" w:fill="ACB9CA"/>
            <w:noWrap/>
            <w:vAlign w:val="center"/>
            <w:hideMark/>
          </w:tcPr>
          <w:p w:rsidR="009846CC" w:rsidRPr="00E6181D" w:rsidRDefault="009846CC" w:rsidP="00E16426">
            <w:pPr>
              <w:spacing w:line="240" w:lineRule="auto"/>
              <w:jc w:val="center"/>
              <w:rPr>
                <w:b/>
                <w:bCs/>
                <w:color w:val="000000"/>
                <w:sz w:val="22"/>
                <w:szCs w:val="22"/>
                <w:lang w:val="en-IN" w:eastAsia="en-IN"/>
              </w:rPr>
            </w:pPr>
            <w:r w:rsidRPr="00E6181D">
              <w:rPr>
                <w:b/>
                <w:bCs/>
                <w:color w:val="000000"/>
                <w:sz w:val="22"/>
                <w:szCs w:val="22"/>
                <w:lang w:val="en-IN" w:eastAsia="en-IN"/>
              </w:rPr>
              <w:t>Actuals</w:t>
            </w:r>
          </w:p>
        </w:tc>
        <w:tc>
          <w:tcPr>
            <w:tcW w:w="1817" w:type="pct"/>
            <w:gridSpan w:val="4"/>
            <w:tcBorders>
              <w:top w:val="single" w:sz="4" w:space="0" w:color="auto"/>
              <w:left w:val="nil"/>
              <w:bottom w:val="single" w:sz="4" w:space="0" w:color="auto"/>
              <w:right w:val="single" w:sz="4" w:space="0" w:color="auto"/>
            </w:tcBorders>
            <w:shd w:val="clear" w:color="000000" w:fill="ACB9CA"/>
            <w:noWrap/>
            <w:vAlign w:val="center"/>
            <w:hideMark/>
          </w:tcPr>
          <w:p w:rsidR="009846CC" w:rsidRPr="00E6181D" w:rsidRDefault="009846CC" w:rsidP="00E16426">
            <w:pPr>
              <w:spacing w:line="240" w:lineRule="auto"/>
              <w:jc w:val="center"/>
              <w:rPr>
                <w:b/>
                <w:bCs/>
                <w:color w:val="000000"/>
                <w:sz w:val="22"/>
                <w:szCs w:val="22"/>
                <w:lang w:val="en-IN" w:eastAsia="en-IN"/>
              </w:rPr>
            </w:pPr>
            <w:r w:rsidRPr="00E6181D">
              <w:rPr>
                <w:b/>
                <w:bCs/>
                <w:color w:val="000000"/>
                <w:sz w:val="22"/>
                <w:szCs w:val="22"/>
                <w:lang w:val="en-IN" w:eastAsia="en-IN"/>
              </w:rPr>
              <w:t>CAGR</w:t>
            </w:r>
          </w:p>
        </w:tc>
      </w:tr>
      <w:tr w:rsidR="00D63262" w:rsidRPr="00E6181D" w:rsidTr="000E7480">
        <w:trPr>
          <w:trHeight w:val="302"/>
        </w:trPr>
        <w:tc>
          <w:tcPr>
            <w:tcW w:w="696" w:type="pct"/>
            <w:vMerge/>
            <w:tcBorders>
              <w:top w:val="single" w:sz="4" w:space="0" w:color="auto"/>
              <w:left w:val="single" w:sz="4" w:space="0" w:color="auto"/>
              <w:bottom w:val="single" w:sz="4" w:space="0" w:color="auto"/>
              <w:right w:val="single" w:sz="4" w:space="0" w:color="auto"/>
            </w:tcBorders>
            <w:vAlign w:val="center"/>
            <w:hideMark/>
          </w:tcPr>
          <w:p w:rsidR="009846CC" w:rsidRPr="00E6181D" w:rsidRDefault="009846CC" w:rsidP="00E16426">
            <w:pPr>
              <w:spacing w:line="240" w:lineRule="auto"/>
              <w:jc w:val="left"/>
              <w:rPr>
                <w:b/>
                <w:bCs/>
                <w:sz w:val="22"/>
                <w:szCs w:val="22"/>
                <w:lang w:val="en-IN" w:eastAsia="en-IN"/>
              </w:rPr>
            </w:pPr>
          </w:p>
        </w:tc>
        <w:tc>
          <w:tcPr>
            <w:tcW w:w="514" w:type="pct"/>
            <w:tcBorders>
              <w:top w:val="nil"/>
              <w:left w:val="nil"/>
              <w:bottom w:val="single" w:sz="4" w:space="0" w:color="auto"/>
              <w:right w:val="single" w:sz="4" w:space="0" w:color="auto"/>
            </w:tcBorders>
            <w:shd w:val="clear" w:color="000000" w:fill="ACB9CA"/>
            <w:noWrap/>
            <w:vAlign w:val="center"/>
            <w:hideMark/>
          </w:tcPr>
          <w:p w:rsidR="009846CC" w:rsidRPr="00E6181D" w:rsidRDefault="009846CC" w:rsidP="00E16426">
            <w:pPr>
              <w:spacing w:line="240" w:lineRule="auto"/>
              <w:jc w:val="center"/>
              <w:rPr>
                <w:b/>
                <w:bCs/>
                <w:color w:val="000000"/>
                <w:sz w:val="22"/>
                <w:szCs w:val="22"/>
                <w:lang w:val="en-IN" w:eastAsia="en-IN"/>
              </w:rPr>
            </w:pPr>
            <w:r w:rsidRPr="00E6181D">
              <w:rPr>
                <w:b/>
                <w:bCs/>
                <w:color w:val="000000"/>
                <w:sz w:val="22"/>
                <w:szCs w:val="22"/>
                <w:lang w:val="en-IN" w:eastAsia="en-IN"/>
              </w:rPr>
              <w:t>FY 2013-14</w:t>
            </w:r>
          </w:p>
        </w:tc>
        <w:tc>
          <w:tcPr>
            <w:tcW w:w="515" w:type="pct"/>
            <w:tcBorders>
              <w:top w:val="nil"/>
              <w:left w:val="nil"/>
              <w:bottom w:val="single" w:sz="4" w:space="0" w:color="auto"/>
              <w:right w:val="single" w:sz="4" w:space="0" w:color="auto"/>
            </w:tcBorders>
            <w:shd w:val="clear" w:color="000000" w:fill="ACB9CA"/>
            <w:noWrap/>
            <w:vAlign w:val="center"/>
            <w:hideMark/>
          </w:tcPr>
          <w:p w:rsidR="009846CC" w:rsidRPr="00E6181D" w:rsidRDefault="009846CC" w:rsidP="00E16426">
            <w:pPr>
              <w:spacing w:line="240" w:lineRule="auto"/>
              <w:jc w:val="center"/>
              <w:rPr>
                <w:b/>
                <w:bCs/>
                <w:color w:val="000000"/>
                <w:sz w:val="22"/>
                <w:szCs w:val="22"/>
                <w:lang w:val="en-IN" w:eastAsia="en-IN"/>
              </w:rPr>
            </w:pPr>
            <w:r w:rsidRPr="00E6181D">
              <w:rPr>
                <w:b/>
                <w:bCs/>
                <w:color w:val="000000"/>
                <w:sz w:val="22"/>
                <w:szCs w:val="22"/>
                <w:lang w:val="en-IN" w:eastAsia="en-IN"/>
              </w:rPr>
              <w:t>FY 2014-15</w:t>
            </w:r>
          </w:p>
        </w:tc>
        <w:tc>
          <w:tcPr>
            <w:tcW w:w="502" w:type="pct"/>
            <w:tcBorders>
              <w:top w:val="nil"/>
              <w:left w:val="nil"/>
              <w:bottom w:val="single" w:sz="4" w:space="0" w:color="auto"/>
              <w:right w:val="single" w:sz="4" w:space="0" w:color="auto"/>
            </w:tcBorders>
            <w:shd w:val="clear" w:color="000000" w:fill="ACB9CA"/>
            <w:noWrap/>
            <w:vAlign w:val="center"/>
            <w:hideMark/>
          </w:tcPr>
          <w:p w:rsidR="009846CC" w:rsidRPr="00E6181D" w:rsidRDefault="009846CC" w:rsidP="00E16426">
            <w:pPr>
              <w:spacing w:line="240" w:lineRule="auto"/>
              <w:jc w:val="center"/>
              <w:rPr>
                <w:b/>
                <w:bCs/>
                <w:color w:val="000000"/>
                <w:sz w:val="22"/>
                <w:szCs w:val="22"/>
                <w:lang w:val="en-IN" w:eastAsia="en-IN"/>
              </w:rPr>
            </w:pPr>
            <w:r w:rsidRPr="00E6181D">
              <w:rPr>
                <w:b/>
                <w:bCs/>
                <w:color w:val="000000"/>
                <w:sz w:val="22"/>
                <w:szCs w:val="22"/>
                <w:lang w:val="en-IN" w:eastAsia="en-IN"/>
              </w:rPr>
              <w:t>FY 2015-16</w:t>
            </w:r>
          </w:p>
        </w:tc>
        <w:tc>
          <w:tcPr>
            <w:tcW w:w="463" w:type="pct"/>
            <w:tcBorders>
              <w:top w:val="nil"/>
              <w:left w:val="nil"/>
              <w:bottom w:val="single" w:sz="4" w:space="0" w:color="auto"/>
              <w:right w:val="single" w:sz="4" w:space="0" w:color="auto"/>
            </w:tcBorders>
            <w:shd w:val="clear" w:color="000000" w:fill="ACB9CA"/>
            <w:noWrap/>
            <w:vAlign w:val="center"/>
            <w:hideMark/>
          </w:tcPr>
          <w:p w:rsidR="009846CC" w:rsidRPr="00E6181D" w:rsidRDefault="009846CC" w:rsidP="00E16426">
            <w:pPr>
              <w:spacing w:line="240" w:lineRule="auto"/>
              <w:jc w:val="center"/>
              <w:rPr>
                <w:b/>
                <w:bCs/>
                <w:color w:val="000000"/>
                <w:sz w:val="22"/>
                <w:szCs w:val="22"/>
                <w:lang w:val="en-IN" w:eastAsia="en-IN"/>
              </w:rPr>
            </w:pPr>
            <w:r w:rsidRPr="00E6181D">
              <w:rPr>
                <w:b/>
                <w:bCs/>
                <w:color w:val="000000"/>
                <w:sz w:val="22"/>
                <w:szCs w:val="22"/>
                <w:lang w:val="en-IN" w:eastAsia="en-IN"/>
              </w:rPr>
              <w:t>FY 2016-17</w:t>
            </w:r>
          </w:p>
        </w:tc>
        <w:tc>
          <w:tcPr>
            <w:tcW w:w="493" w:type="pct"/>
            <w:tcBorders>
              <w:top w:val="nil"/>
              <w:left w:val="nil"/>
              <w:bottom w:val="single" w:sz="4" w:space="0" w:color="auto"/>
              <w:right w:val="single" w:sz="4" w:space="0" w:color="auto"/>
            </w:tcBorders>
            <w:shd w:val="clear" w:color="000000" w:fill="ACB9CA"/>
            <w:noWrap/>
            <w:vAlign w:val="center"/>
            <w:hideMark/>
          </w:tcPr>
          <w:p w:rsidR="009846CC" w:rsidRPr="00E6181D" w:rsidRDefault="009846CC" w:rsidP="00E16426">
            <w:pPr>
              <w:spacing w:line="240" w:lineRule="auto"/>
              <w:jc w:val="center"/>
              <w:rPr>
                <w:b/>
                <w:bCs/>
                <w:color w:val="000000"/>
                <w:sz w:val="22"/>
                <w:szCs w:val="22"/>
                <w:lang w:val="en-IN" w:eastAsia="en-IN"/>
              </w:rPr>
            </w:pPr>
            <w:r w:rsidRPr="00E6181D">
              <w:rPr>
                <w:b/>
                <w:bCs/>
                <w:color w:val="000000"/>
                <w:sz w:val="22"/>
                <w:szCs w:val="22"/>
                <w:lang w:val="en-IN" w:eastAsia="en-IN"/>
              </w:rPr>
              <w:t>FY 2017-18</w:t>
            </w:r>
          </w:p>
        </w:tc>
        <w:tc>
          <w:tcPr>
            <w:tcW w:w="463" w:type="pct"/>
            <w:tcBorders>
              <w:top w:val="nil"/>
              <w:left w:val="nil"/>
              <w:bottom w:val="single" w:sz="4" w:space="0" w:color="auto"/>
              <w:right w:val="single" w:sz="4" w:space="0" w:color="auto"/>
            </w:tcBorders>
            <w:shd w:val="clear" w:color="000000" w:fill="ACB9CA"/>
            <w:noWrap/>
            <w:vAlign w:val="center"/>
            <w:hideMark/>
          </w:tcPr>
          <w:p w:rsidR="009846CC" w:rsidRPr="00E6181D" w:rsidRDefault="009846CC" w:rsidP="00E16426">
            <w:pPr>
              <w:spacing w:line="240" w:lineRule="auto"/>
              <w:jc w:val="center"/>
              <w:rPr>
                <w:b/>
                <w:bCs/>
                <w:color w:val="000000"/>
                <w:sz w:val="22"/>
                <w:szCs w:val="22"/>
                <w:lang w:val="en-IN" w:eastAsia="en-IN"/>
              </w:rPr>
            </w:pPr>
            <w:r>
              <w:rPr>
                <w:b/>
                <w:bCs/>
                <w:color w:val="000000"/>
                <w:sz w:val="22"/>
                <w:szCs w:val="22"/>
                <w:lang w:val="en-IN" w:eastAsia="en-IN"/>
              </w:rPr>
              <w:t>5 year</w:t>
            </w:r>
          </w:p>
        </w:tc>
        <w:tc>
          <w:tcPr>
            <w:tcW w:w="462" w:type="pct"/>
            <w:tcBorders>
              <w:top w:val="nil"/>
              <w:left w:val="nil"/>
              <w:bottom w:val="single" w:sz="4" w:space="0" w:color="auto"/>
              <w:right w:val="single" w:sz="4" w:space="0" w:color="auto"/>
            </w:tcBorders>
            <w:shd w:val="clear" w:color="000000" w:fill="ACB9CA"/>
            <w:noWrap/>
            <w:vAlign w:val="center"/>
            <w:hideMark/>
          </w:tcPr>
          <w:p w:rsidR="009846CC" w:rsidRPr="00E6181D" w:rsidRDefault="009846CC" w:rsidP="00E16426">
            <w:pPr>
              <w:spacing w:line="240" w:lineRule="auto"/>
              <w:jc w:val="center"/>
              <w:rPr>
                <w:b/>
                <w:bCs/>
                <w:color w:val="000000"/>
                <w:sz w:val="22"/>
                <w:szCs w:val="22"/>
                <w:lang w:val="en-IN" w:eastAsia="en-IN"/>
              </w:rPr>
            </w:pPr>
            <w:r>
              <w:rPr>
                <w:b/>
                <w:bCs/>
                <w:color w:val="000000"/>
                <w:sz w:val="22"/>
                <w:szCs w:val="22"/>
                <w:lang w:val="en-IN" w:eastAsia="en-IN"/>
              </w:rPr>
              <w:t>4 year</w:t>
            </w:r>
          </w:p>
        </w:tc>
        <w:tc>
          <w:tcPr>
            <w:tcW w:w="460" w:type="pct"/>
            <w:tcBorders>
              <w:top w:val="nil"/>
              <w:left w:val="nil"/>
              <w:bottom w:val="single" w:sz="4" w:space="0" w:color="auto"/>
              <w:right w:val="single" w:sz="4" w:space="0" w:color="auto"/>
            </w:tcBorders>
            <w:shd w:val="clear" w:color="000000" w:fill="ACB9CA"/>
            <w:noWrap/>
            <w:vAlign w:val="center"/>
            <w:hideMark/>
          </w:tcPr>
          <w:p w:rsidR="009846CC" w:rsidRPr="00E6181D" w:rsidRDefault="009846CC" w:rsidP="00E16426">
            <w:pPr>
              <w:spacing w:line="240" w:lineRule="auto"/>
              <w:jc w:val="center"/>
              <w:rPr>
                <w:b/>
                <w:bCs/>
                <w:color w:val="000000"/>
                <w:sz w:val="22"/>
                <w:szCs w:val="22"/>
                <w:lang w:val="en-IN" w:eastAsia="en-IN"/>
              </w:rPr>
            </w:pPr>
            <w:r w:rsidRPr="00E6181D">
              <w:rPr>
                <w:b/>
                <w:bCs/>
                <w:color w:val="000000"/>
                <w:sz w:val="22"/>
                <w:szCs w:val="22"/>
                <w:lang w:val="en-IN" w:eastAsia="en-IN"/>
              </w:rPr>
              <w:t>3 years</w:t>
            </w:r>
          </w:p>
        </w:tc>
        <w:tc>
          <w:tcPr>
            <w:tcW w:w="432" w:type="pct"/>
            <w:tcBorders>
              <w:top w:val="nil"/>
              <w:left w:val="nil"/>
              <w:bottom w:val="single" w:sz="4" w:space="0" w:color="auto"/>
              <w:right w:val="single" w:sz="4" w:space="0" w:color="auto"/>
            </w:tcBorders>
            <w:shd w:val="clear" w:color="000000" w:fill="ACB9CA"/>
            <w:noWrap/>
            <w:vAlign w:val="center"/>
            <w:hideMark/>
          </w:tcPr>
          <w:p w:rsidR="009846CC" w:rsidRPr="00E6181D" w:rsidRDefault="009846CC" w:rsidP="00E16426">
            <w:pPr>
              <w:spacing w:line="240" w:lineRule="auto"/>
              <w:jc w:val="center"/>
              <w:rPr>
                <w:b/>
                <w:bCs/>
                <w:color w:val="000000"/>
                <w:sz w:val="22"/>
                <w:szCs w:val="22"/>
                <w:lang w:val="en-IN" w:eastAsia="en-IN"/>
              </w:rPr>
            </w:pPr>
            <w:r w:rsidRPr="00E6181D">
              <w:rPr>
                <w:b/>
                <w:bCs/>
                <w:color w:val="000000"/>
                <w:sz w:val="22"/>
                <w:szCs w:val="22"/>
                <w:lang w:val="en-IN" w:eastAsia="en-IN"/>
              </w:rPr>
              <w:t>CAGR Considered</w:t>
            </w:r>
          </w:p>
        </w:tc>
      </w:tr>
      <w:tr w:rsidR="00D63262" w:rsidRPr="00E6181D" w:rsidTr="000E7480">
        <w:trPr>
          <w:trHeight w:val="302"/>
        </w:trPr>
        <w:tc>
          <w:tcPr>
            <w:tcW w:w="696" w:type="pct"/>
            <w:tcBorders>
              <w:top w:val="nil"/>
              <w:left w:val="single" w:sz="4" w:space="0" w:color="auto"/>
              <w:bottom w:val="single" w:sz="4" w:space="0" w:color="auto"/>
              <w:right w:val="single" w:sz="4" w:space="0" w:color="auto"/>
            </w:tcBorders>
            <w:shd w:val="clear" w:color="auto" w:fill="auto"/>
            <w:noWrap/>
            <w:vAlign w:val="bottom"/>
            <w:hideMark/>
          </w:tcPr>
          <w:p w:rsidR="00D63262" w:rsidRPr="00E811D9" w:rsidRDefault="00D63262" w:rsidP="00D63262">
            <w:pPr>
              <w:spacing w:line="240" w:lineRule="auto"/>
              <w:jc w:val="left"/>
              <w:rPr>
                <w:color w:val="000000"/>
                <w:sz w:val="20"/>
                <w:szCs w:val="20"/>
                <w:lang w:val="en-IN" w:eastAsia="en-IN"/>
              </w:rPr>
            </w:pPr>
            <w:r w:rsidRPr="00E811D9">
              <w:rPr>
                <w:color w:val="000000"/>
                <w:sz w:val="20"/>
                <w:szCs w:val="20"/>
                <w:lang w:val="en-IN" w:eastAsia="en-IN"/>
              </w:rPr>
              <w:t>Domestic</w:t>
            </w:r>
          </w:p>
        </w:tc>
        <w:tc>
          <w:tcPr>
            <w:tcW w:w="514" w:type="pct"/>
            <w:tcBorders>
              <w:top w:val="nil"/>
              <w:left w:val="nil"/>
              <w:bottom w:val="single" w:sz="4" w:space="0" w:color="auto"/>
              <w:right w:val="single" w:sz="4" w:space="0" w:color="auto"/>
            </w:tcBorders>
            <w:shd w:val="clear" w:color="auto" w:fill="auto"/>
            <w:noWrap/>
            <w:vAlign w:val="center"/>
            <w:hideMark/>
          </w:tcPr>
          <w:p w:rsidR="00D63262" w:rsidRPr="00E6181D" w:rsidRDefault="00D63262" w:rsidP="00735CAB">
            <w:pPr>
              <w:spacing w:line="240" w:lineRule="auto"/>
              <w:jc w:val="right"/>
              <w:rPr>
                <w:color w:val="000000"/>
                <w:sz w:val="22"/>
                <w:szCs w:val="22"/>
                <w:lang w:val="en-IN" w:eastAsia="en-IN"/>
              </w:rPr>
            </w:pPr>
            <w:r w:rsidRPr="00E6181D">
              <w:rPr>
                <w:color w:val="000000"/>
                <w:sz w:val="22"/>
                <w:szCs w:val="22"/>
                <w:lang w:val="en-IN" w:eastAsia="en-IN"/>
              </w:rPr>
              <w:t>600.00</w:t>
            </w:r>
          </w:p>
        </w:tc>
        <w:tc>
          <w:tcPr>
            <w:tcW w:w="515" w:type="pct"/>
            <w:tcBorders>
              <w:top w:val="nil"/>
              <w:left w:val="nil"/>
              <w:bottom w:val="single" w:sz="4" w:space="0" w:color="auto"/>
              <w:right w:val="single" w:sz="4" w:space="0" w:color="auto"/>
            </w:tcBorders>
            <w:shd w:val="clear" w:color="auto" w:fill="auto"/>
            <w:noWrap/>
            <w:vAlign w:val="center"/>
            <w:hideMark/>
          </w:tcPr>
          <w:p w:rsidR="00D63262" w:rsidRPr="00E6181D" w:rsidRDefault="00D63262" w:rsidP="00735CAB">
            <w:pPr>
              <w:spacing w:line="240" w:lineRule="auto"/>
              <w:jc w:val="right"/>
              <w:rPr>
                <w:color w:val="000000"/>
                <w:sz w:val="22"/>
                <w:szCs w:val="22"/>
                <w:lang w:val="en-IN" w:eastAsia="en-IN"/>
              </w:rPr>
            </w:pPr>
            <w:r w:rsidRPr="00E6181D">
              <w:rPr>
                <w:color w:val="000000"/>
                <w:sz w:val="22"/>
                <w:szCs w:val="22"/>
                <w:lang w:val="en-IN" w:eastAsia="en-IN"/>
              </w:rPr>
              <w:t>635.22</w:t>
            </w:r>
          </w:p>
        </w:tc>
        <w:tc>
          <w:tcPr>
            <w:tcW w:w="502" w:type="pct"/>
            <w:tcBorders>
              <w:top w:val="nil"/>
              <w:left w:val="nil"/>
              <w:bottom w:val="single" w:sz="4" w:space="0" w:color="auto"/>
              <w:right w:val="single" w:sz="4" w:space="0" w:color="auto"/>
            </w:tcBorders>
            <w:shd w:val="clear" w:color="auto" w:fill="auto"/>
            <w:noWrap/>
            <w:vAlign w:val="center"/>
            <w:hideMark/>
          </w:tcPr>
          <w:p w:rsidR="00D63262" w:rsidRPr="00E6181D" w:rsidRDefault="00D63262" w:rsidP="00735CAB">
            <w:pPr>
              <w:spacing w:line="240" w:lineRule="auto"/>
              <w:jc w:val="right"/>
              <w:rPr>
                <w:color w:val="000000"/>
                <w:sz w:val="22"/>
                <w:szCs w:val="22"/>
                <w:lang w:val="en-IN" w:eastAsia="en-IN"/>
              </w:rPr>
            </w:pPr>
            <w:r w:rsidRPr="00E6181D">
              <w:rPr>
                <w:color w:val="000000"/>
                <w:sz w:val="22"/>
                <w:szCs w:val="22"/>
                <w:lang w:val="en-IN" w:eastAsia="en-IN"/>
              </w:rPr>
              <w:t>675.00</w:t>
            </w:r>
          </w:p>
        </w:tc>
        <w:tc>
          <w:tcPr>
            <w:tcW w:w="463" w:type="pct"/>
            <w:tcBorders>
              <w:top w:val="nil"/>
              <w:left w:val="nil"/>
              <w:bottom w:val="single" w:sz="4" w:space="0" w:color="auto"/>
              <w:right w:val="single" w:sz="4" w:space="0" w:color="auto"/>
            </w:tcBorders>
            <w:shd w:val="clear" w:color="auto" w:fill="auto"/>
            <w:noWrap/>
            <w:vAlign w:val="center"/>
            <w:hideMark/>
          </w:tcPr>
          <w:p w:rsidR="00D63262" w:rsidRPr="00E6181D" w:rsidRDefault="00D63262" w:rsidP="00735CAB">
            <w:pPr>
              <w:spacing w:line="240" w:lineRule="auto"/>
              <w:jc w:val="right"/>
              <w:rPr>
                <w:color w:val="000000"/>
                <w:sz w:val="22"/>
                <w:szCs w:val="22"/>
                <w:lang w:val="en-IN" w:eastAsia="en-IN"/>
              </w:rPr>
            </w:pPr>
            <w:r w:rsidRPr="00E6181D">
              <w:rPr>
                <w:color w:val="000000"/>
                <w:sz w:val="22"/>
                <w:szCs w:val="22"/>
                <w:lang w:val="en-IN" w:eastAsia="en-IN"/>
              </w:rPr>
              <w:t>699.82</w:t>
            </w:r>
          </w:p>
        </w:tc>
        <w:tc>
          <w:tcPr>
            <w:tcW w:w="493" w:type="pct"/>
            <w:tcBorders>
              <w:top w:val="nil"/>
              <w:left w:val="nil"/>
              <w:bottom w:val="single" w:sz="4" w:space="0" w:color="auto"/>
              <w:right w:val="single" w:sz="4" w:space="0" w:color="auto"/>
            </w:tcBorders>
            <w:shd w:val="clear" w:color="auto" w:fill="auto"/>
            <w:noWrap/>
            <w:vAlign w:val="center"/>
            <w:hideMark/>
          </w:tcPr>
          <w:p w:rsidR="00D63262" w:rsidRPr="00D63262" w:rsidRDefault="00D63262" w:rsidP="00735CAB">
            <w:pPr>
              <w:spacing w:line="240" w:lineRule="auto"/>
              <w:jc w:val="right"/>
              <w:rPr>
                <w:color w:val="000000"/>
                <w:sz w:val="22"/>
                <w:szCs w:val="22"/>
                <w:lang w:val="en-IN" w:eastAsia="en-IN"/>
              </w:rPr>
            </w:pPr>
            <w:r w:rsidRPr="00D63262">
              <w:rPr>
                <w:color w:val="000000"/>
                <w:sz w:val="22"/>
                <w:szCs w:val="22"/>
                <w:lang w:val="en-IN" w:eastAsia="en-IN"/>
              </w:rPr>
              <w:t>723.3</w:t>
            </w:r>
          </w:p>
        </w:tc>
        <w:tc>
          <w:tcPr>
            <w:tcW w:w="463" w:type="pct"/>
            <w:tcBorders>
              <w:top w:val="nil"/>
              <w:left w:val="nil"/>
              <w:bottom w:val="single" w:sz="4" w:space="0" w:color="auto"/>
              <w:right w:val="single" w:sz="4" w:space="0" w:color="auto"/>
            </w:tcBorders>
            <w:shd w:val="clear" w:color="auto" w:fill="auto"/>
            <w:noWrap/>
            <w:vAlign w:val="center"/>
            <w:hideMark/>
          </w:tcPr>
          <w:p w:rsidR="00D63262" w:rsidRPr="00D63262" w:rsidRDefault="00D63262" w:rsidP="00735CAB">
            <w:pPr>
              <w:spacing w:line="240" w:lineRule="auto"/>
              <w:jc w:val="right"/>
              <w:rPr>
                <w:color w:val="000000"/>
                <w:sz w:val="22"/>
                <w:szCs w:val="22"/>
                <w:lang w:val="en-IN" w:eastAsia="en-IN"/>
              </w:rPr>
            </w:pPr>
            <w:r w:rsidRPr="00D63262">
              <w:rPr>
                <w:color w:val="000000"/>
                <w:sz w:val="22"/>
                <w:szCs w:val="22"/>
                <w:lang w:val="en-IN" w:eastAsia="en-IN"/>
              </w:rPr>
              <w:t>4.78%</w:t>
            </w:r>
          </w:p>
        </w:tc>
        <w:tc>
          <w:tcPr>
            <w:tcW w:w="462" w:type="pct"/>
            <w:tcBorders>
              <w:top w:val="nil"/>
              <w:left w:val="nil"/>
              <w:bottom w:val="single" w:sz="4" w:space="0" w:color="auto"/>
              <w:right w:val="single" w:sz="4" w:space="0" w:color="auto"/>
            </w:tcBorders>
            <w:shd w:val="clear" w:color="auto" w:fill="auto"/>
            <w:noWrap/>
            <w:vAlign w:val="center"/>
            <w:hideMark/>
          </w:tcPr>
          <w:p w:rsidR="00D63262" w:rsidRPr="00D63262" w:rsidRDefault="00D63262" w:rsidP="00735CAB">
            <w:pPr>
              <w:spacing w:line="240" w:lineRule="auto"/>
              <w:jc w:val="right"/>
              <w:rPr>
                <w:color w:val="000000"/>
                <w:sz w:val="22"/>
                <w:szCs w:val="22"/>
                <w:lang w:val="en-IN" w:eastAsia="en-IN"/>
              </w:rPr>
            </w:pPr>
            <w:r w:rsidRPr="00D63262">
              <w:rPr>
                <w:color w:val="000000"/>
                <w:sz w:val="22"/>
                <w:szCs w:val="22"/>
                <w:lang w:val="en-IN" w:eastAsia="en-IN"/>
              </w:rPr>
              <w:t>4.42%</w:t>
            </w:r>
          </w:p>
        </w:tc>
        <w:tc>
          <w:tcPr>
            <w:tcW w:w="460" w:type="pct"/>
            <w:tcBorders>
              <w:top w:val="nil"/>
              <w:left w:val="nil"/>
              <w:bottom w:val="single" w:sz="4" w:space="0" w:color="auto"/>
              <w:right w:val="single" w:sz="4" w:space="0" w:color="auto"/>
            </w:tcBorders>
            <w:shd w:val="clear" w:color="auto" w:fill="auto"/>
            <w:noWrap/>
            <w:vAlign w:val="center"/>
            <w:hideMark/>
          </w:tcPr>
          <w:p w:rsidR="00D63262" w:rsidRPr="00D63262" w:rsidRDefault="00D63262" w:rsidP="00735CAB">
            <w:pPr>
              <w:spacing w:line="240" w:lineRule="auto"/>
              <w:jc w:val="right"/>
              <w:rPr>
                <w:color w:val="000000"/>
                <w:sz w:val="22"/>
                <w:szCs w:val="22"/>
                <w:lang w:val="en-IN" w:eastAsia="en-IN"/>
              </w:rPr>
            </w:pPr>
            <w:r w:rsidRPr="00D63262">
              <w:rPr>
                <w:color w:val="000000"/>
                <w:sz w:val="22"/>
                <w:szCs w:val="22"/>
                <w:lang w:val="en-IN" w:eastAsia="en-IN"/>
              </w:rPr>
              <w:t>3.51%</w:t>
            </w:r>
          </w:p>
        </w:tc>
        <w:tc>
          <w:tcPr>
            <w:tcW w:w="432" w:type="pct"/>
            <w:tcBorders>
              <w:top w:val="nil"/>
              <w:left w:val="nil"/>
              <w:bottom w:val="single" w:sz="4" w:space="0" w:color="auto"/>
              <w:right w:val="single" w:sz="4" w:space="0" w:color="auto"/>
            </w:tcBorders>
            <w:shd w:val="clear" w:color="auto" w:fill="auto"/>
            <w:noWrap/>
            <w:vAlign w:val="center"/>
            <w:hideMark/>
          </w:tcPr>
          <w:p w:rsidR="00D63262" w:rsidRPr="00D63262" w:rsidRDefault="00D63262" w:rsidP="00735CAB">
            <w:pPr>
              <w:spacing w:line="240" w:lineRule="auto"/>
              <w:jc w:val="right"/>
              <w:rPr>
                <w:color w:val="000000"/>
                <w:sz w:val="22"/>
                <w:szCs w:val="22"/>
                <w:lang w:val="en-IN" w:eastAsia="en-IN"/>
              </w:rPr>
            </w:pPr>
            <w:r w:rsidRPr="00D63262">
              <w:rPr>
                <w:color w:val="000000"/>
                <w:sz w:val="22"/>
                <w:szCs w:val="22"/>
                <w:lang w:val="en-IN" w:eastAsia="en-IN"/>
              </w:rPr>
              <w:t>4.78%</w:t>
            </w:r>
          </w:p>
        </w:tc>
      </w:tr>
      <w:tr w:rsidR="00D63262" w:rsidRPr="00E6181D" w:rsidTr="000E7480">
        <w:trPr>
          <w:trHeight w:val="302"/>
        </w:trPr>
        <w:tc>
          <w:tcPr>
            <w:tcW w:w="696" w:type="pct"/>
            <w:tcBorders>
              <w:top w:val="nil"/>
              <w:left w:val="single" w:sz="4" w:space="0" w:color="auto"/>
              <w:bottom w:val="single" w:sz="4" w:space="0" w:color="auto"/>
              <w:right w:val="single" w:sz="4" w:space="0" w:color="auto"/>
            </w:tcBorders>
            <w:shd w:val="clear" w:color="auto" w:fill="auto"/>
            <w:noWrap/>
            <w:vAlign w:val="bottom"/>
            <w:hideMark/>
          </w:tcPr>
          <w:p w:rsidR="00D63262" w:rsidRPr="00E811D9" w:rsidRDefault="00D63262" w:rsidP="00D63262">
            <w:pPr>
              <w:spacing w:line="240" w:lineRule="auto"/>
              <w:jc w:val="left"/>
              <w:rPr>
                <w:color w:val="000000"/>
                <w:sz w:val="20"/>
                <w:szCs w:val="20"/>
                <w:lang w:val="en-IN" w:eastAsia="en-IN"/>
              </w:rPr>
            </w:pPr>
            <w:r w:rsidRPr="00E811D9">
              <w:rPr>
                <w:color w:val="000000"/>
                <w:sz w:val="20"/>
                <w:szCs w:val="20"/>
                <w:lang w:val="en-IN" w:eastAsia="en-IN"/>
              </w:rPr>
              <w:t>OHOB</w:t>
            </w:r>
          </w:p>
        </w:tc>
        <w:tc>
          <w:tcPr>
            <w:tcW w:w="514" w:type="pct"/>
            <w:tcBorders>
              <w:top w:val="nil"/>
              <w:left w:val="nil"/>
              <w:bottom w:val="single" w:sz="4" w:space="0" w:color="auto"/>
              <w:right w:val="single" w:sz="4" w:space="0" w:color="auto"/>
            </w:tcBorders>
            <w:shd w:val="clear" w:color="auto" w:fill="auto"/>
            <w:noWrap/>
            <w:vAlign w:val="center"/>
            <w:hideMark/>
          </w:tcPr>
          <w:p w:rsidR="00D63262" w:rsidRPr="00E6181D" w:rsidRDefault="00D63262" w:rsidP="00735CAB">
            <w:pPr>
              <w:spacing w:line="240" w:lineRule="auto"/>
              <w:jc w:val="right"/>
              <w:rPr>
                <w:color w:val="000000"/>
                <w:sz w:val="22"/>
                <w:szCs w:val="22"/>
                <w:lang w:val="en-IN" w:eastAsia="en-IN"/>
              </w:rPr>
            </w:pPr>
            <w:r w:rsidRPr="00E6181D">
              <w:rPr>
                <w:color w:val="000000"/>
                <w:sz w:val="22"/>
                <w:szCs w:val="22"/>
                <w:lang w:val="en-IN" w:eastAsia="en-IN"/>
              </w:rPr>
              <w:t>12.09</w:t>
            </w:r>
          </w:p>
        </w:tc>
        <w:tc>
          <w:tcPr>
            <w:tcW w:w="515" w:type="pct"/>
            <w:tcBorders>
              <w:top w:val="nil"/>
              <w:left w:val="nil"/>
              <w:bottom w:val="single" w:sz="4" w:space="0" w:color="auto"/>
              <w:right w:val="single" w:sz="4" w:space="0" w:color="auto"/>
            </w:tcBorders>
            <w:shd w:val="clear" w:color="auto" w:fill="auto"/>
            <w:noWrap/>
            <w:vAlign w:val="center"/>
            <w:hideMark/>
          </w:tcPr>
          <w:p w:rsidR="00D63262" w:rsidRPr="00E6181D" w:rsidRDefault="00D63262" w:rsidP="00735CAB">
            <w:pPr>
              <w:spacing w:line="240" w:lineRule="auto"/>
              <w:jc w:val="right"/>
              <w:rPr>
                <w:color w:val="000000"/>
                <w:sz w:val="22"/>
                <w:szCs w:val="22"/>
                <w:lang w:val="en-IN" w:eastAsia="en-IN"/>
              </w:rPr>
            </w:pPr>
            <w:r w:rsidRPr="00E6181D">
              <w:rPr>
                <w:color w:val="000000"/>
                <w:sz w:val="22"/>
                <w:szCs w:val="22"/>
                <w:lang w:val="en-IN" w:eastAsia="en-IN"/>
              </w:rPr>
              <w:t>10.00</w:t>
            </w:r>
          </w:p>
        </w:tc>
        <w:tc>
          <w:tcPr>
            <w:tcW w:w="502" w:type="pct"/>
            <w:tcBorders>
              <w:top w:val="nil"/>
              <w:left w:val="nil"/>
              <w:bottom w:val="single" w:sz="4" w:space="0" w:color="auto"/>
              <w:right w:val="single" w:sz="4" w:space="0" w:color="auto"/>
            </w:tcBorders>
            <w:shd w:val="clear" w:color="auto" w:fill="auto"/>
            <w:noWrap/>
            <w:vAlign w:val="center"/>
            <w:hideMark/>
          </w:tcPr>
          <w:p w:rsidR="00D63262" w:rsidRPr="00E6181D" w:rsidRDefault="00D63262" w:rsidP="00735CAB">
            <w:pPr>
              <w:spacing w:line="240" w:lineRule="auto"/>
              <w:jc w:val="right"/>
              <w:rPr>
                <w:color w:val="000000"/>
                <w:sz w:val="22"/>
                <w:szCs w:val="22"/>
                <w:lang w:val="en-IN" w:eastAsia="en-IN"/>
              </w:rPr>
            </w:pPr>
            <w:r w:rsidRPr="00E6181D">
              <w:rPr>
                <w:color w:val="000000"/>
                <w:sz w:val="22"/>
                <w:szCs w:val="22"/>
                <w:lang w:val="en-IN" w:eastAsia="en-IN"/>
              </w:rPr>
              <w:t>10.00</w:t>
            </w:r>
          </w:p>
        </w:tc>
        <w:tc>
          <w:tcPr>
            <w:tcW w:w="463" w:type="pct"/>
            <w:tcBorders>
              <w:top w:val="nil"/>
              <w:left w:val="nil"/>
              <w:bottom w:val="single" w:sz="4" w:space="0" w:color="auto"/>
              <w:right w:val="single" w:sz="4" w:space="0" w:color="auto"/>
            </w:tcBorders>
            <w:shd w:val="clear" w:color="auto" w:fill="auto"/>
            <w:noWrap/>
            <w:vAlign w:val="center"/>
            <w:hideMark/>
          </w:tcPr>
          <w:p w:rsidR="00D63262" w:rsidRPr="00E6181D" w:rsidRDefault="00D63262" w:rsidP="00735CAB">
            <w:pPr>
              <w:spacing w:line="240" w:lineRule="auto"/>
              <w:jc w:val="right"/>
              <w:rPr>
                <w:color w:val="000000"/>
                <w:sz w:val="22"/>
                <w:szCs w:val="22"/>
                <w:lang w:val="en-IN" w:eastAsia="en-IN"/>
              </w:rPr>
            </w:pPr>
            <w:r w:rsidRPr="00E6181D">
              <w:rPr>
                <w:color w:val="000000"/>
                <w:sz w:val="22"/>
                <w:szCs w:val="22"/>
                <w:lang w:val="en-IN" w:eastAsia="en-IN"/>
              </w:rPr>
              <w:t>10.21</w:t>
            </w:r>
          </w:p>
        </w:tc>
        <w:tc>
          <w:tcPr>
            <w:tcW w:w="493" w:type="pct"/>
            <w:tcBorders>
              <w:top w:val="nil"/>
              <w:left w:val="nil"/>
              <w:bottom w:val="single" w:sz="4" w:space="0" w:color="auto"/>
              <w:right w:val="single" w:sz="4" w:space="0" w:color="auto"/>
            </w:tcBorders>
            <w:shd w:val="clear" w:color="auto" w:fill="auto"/>
            <w:noWrap/>
            <w:vAlign w:val="center"/>
            <w:hideMark/>
          </w:tcPr>
          <w:p w:rsidR="00D63262" w:rsidRPr="00D63262" w:rsidRDefault="00D63262" w:rsidP="00735CAB">
            <w:pPr>
              <w:spacing w:line="240" w:lineRule="auto"/>
              <w:jc w:val="right"/>
              <w:rPr>
                <w:color w:val="000000"/>
                <w:sz w:val="22"/>
                <w:szCs w:val="22"/>
                <w:lang w:val="en-IN" w:eastAsia="en-IN"/>
              </w:rPr>
            </w:pPr>
            <w:r w:rsidRPr="00D63262">
              <w:rPr>
                <w:color w:val="000000"/>
                <w:sz w:val="22"/>
                <w:szCs w:val="22"/>
                <w:lang w:val="en-IN" w:eastAsia="en-IN"/>
              </w:rPr>
              <w:t>10.2</w:t>
            </w:r>
          </w:p>
        </w:tc>
        <w:tc>
          <w:tcPr>
            <w:tcW w:w="463" w:type="pct"/>
            <w:tcBorders>
              <w:top w:val="nil"/>
              <w:left w:val="nil"/>
              <w:bottom w:val="single" w:sz="4" w:space="0" w:color="auto"/>
              <w:right w:val="single" w:sz="4" w:space="0" w:color="auto"/>
            </w:tcBorders>
            <w:shd w:val="clear" w:color="auto" w:fill="auto"/>
            <w:noWrap/>
            <w:vAlign w:val="center"/>
            <w:hideMark/>
          </w:tcPr>
          <w:p w:rsidR="00D63262" w:rsidRPr="00D63262" w:rsidRDefault="00D63262" w:rsidP="00735CAB">
            <w:pPr>
              <w:spacing w:line="240" w:lineRule="auto"/>
              <w:jc w:val="right"/>
              <w:rPr>
                <w:color w:val="000000"/>
                <w:sz w:val="22"/>
                <w:szCs w:val="22"/>
                <w:lang w:val="en-IN" w:eastAsia="en-IN"/>
              </w:rPr>
            </w:pPr>
            <w:r w:rsidRPr="00D63262">
              <w:rPr>
                <w:color w:val="000000"/>
                <w:sz w:val="22"/>
                <w:szCs w:val="22"/>
                <w:lang w:val="en-IN" w:eastAsia="en-IN"/>
              </w:rPr>
              <w:t>-4.07%</w:t>
            </w:r>
          </w:p>
        </w:tc>
        <w:tc>
          <w:tcPr>
            <w:tcW w:w="462" w:type="pct"/>
            <w:tcBorders>
              <w:top w:val="nil"/>
              <w:left w:val="nil"/>
              <w:bottom w:val="single" w:sz="4" w:space="0" w:color="auto"/>
              <w:right w:val="single" w:sz="4" w:space="0" w:color="auto"/>
            </w:tcBorders>
            <w:shd w:val="clear" w:color="auto" w:fill="auto"/>
            <w:noWrap/>
            <w:vAlign w:val="center"/>
            <w:hideMark/>
          </w:tcPr>
          <w:p w:rsidR="00D63262" w:rsidRPr="00D63262" w:rsidRDefault="00D63262" w:rsidP="00735CAB">
            <w:pPr>
              <w:spacing w:line="240" w:lineRule="auto"/>
              <w:jc w:val="right"/>
              <w:rPr>
                <w:color w:val="000000"/>
                <w:sz w:val="22"/>
                <w:szCs w:val="22"/>
                <w:lang w:val="en-IN" w:eastAsia="en-IN"/>
              </w:rPr>
            </w:pPr>
            <w:r w:rsidRPr="00D63262">
              <w:rPr>
                <w:color w:val="000000"/>
                <w:sz w:val="22"/>
                <w:szCs w:val="22"/>
                <w:lang w:val="en-IN" w:eastAsia="en-IN"/>
              </w:rPr>
              <w:t>0.79%</w:t>
            </w:r>
          </w:p>
        </w:tc>
        <w:tc>
          <w:tcPr>
            <w:tcW w:w="460" w:type="pct"/>
            <w:tcBorders>
              <w:top w:val="nil"/>
              <w:left w:val="nil"/>
              <w:bottom w:val="single" w:sz="4" w:space="0" w:color="auto"/>
              <w:right w:val="single" w:sz="4" w:space="0" w:color="auto"/>
            </w:tcBorders>
            <w:shd w:val="clear" w:color="auto" w:fill="auto"/>
            <w:noWrap/>
            <w:vAlign w:val="center"/>
            <w:hideMark/>
          </w:tcPr>
          <w:p w:rsidR="00D63262" w:rsidRPr="00D63262" w:rsidRDefault="00D63262" w:rsidP="00735CAB">
            <w:pPr>
              <w:spacing w:line="240" w:lineRule="auto"/>
              <w:jc w:val="right"/>
              <w:rPr>
                <w:color w:val="000000"/>
                <w:sz w:val="22"/>
                <w:szCs w:val="22"/>
                <w:lang w:val="en-IN" w:eastAsia="en-IN"/>
              </w:rPr>
            </w:pPr>
            <w:r w:rsidRPr="00D63262">
              <w:rPr>
                <w:color w:val="000000"/>
                <w:sz w:val="22"/>
                <w:szCs w:val="22"/>
                <w:lang w:val="en-IN" w:eastAsia="en-IN"/>
              </w:rPr>
              <w:t>1.19%</w:t>
            </w:r>
          </w:p>
        </w:tc>
        <w:tc>
          <w:tcPr>
            <w:tcW w:w="432" w:type="pct"/>
            <w:tcBorders>
              <w:top w:val="nil"/>
              <w:left w:val="nil"/>
              <w:bottom w:val="single" w:sz="4" w:space="0" w:color="auto"/>
              <w:right w:val="single" w:sz="4" w:space="0" w:color="auto"/>
            </w:tcBorders>
            <w:shd w:val="clear" w:color="auto" w:fill="auto"/>
            <w:noWrap/>
            <w:vAlign w:val="center"/>
            <w:hideMark/>
          </w:tcPr>
          <w:p w:rsidR="00D63262" w:rsidRPr="00D63262" w:rsidRDefault="00D63262" w:rsidP="00735CAB">
            <w:pPr>
              <w:spacing w:line="240" w:lineRule="auto"/>
              <w:jc w:val="right"/>
              <w:rPr>
                <w:color w:val="000000"/>
                <w:sz w:val="22"/>
                <w:szCs w:val="22"/>
                <w:lang w:val="en-IN" w:eastAsia="en-IN"/>
              </w:rPr>
            </w:pPr>
            <w:r w:rsidRPr="00D63262">
              <w:rPr>
                <w:color w:val="000000"/>
                <w:sz w:val="22"/>
                <w:szCs w:val="22"/>
                <w:lang w:val="en-IN" w:eastAsia="en-IN"/>
              </w:rPr>
              <w:t>1.19%</w:t>
            </w:r>
          </w:p>
        </w:tc>
      </w:tr>
      <w:tr w:rsidR="00D63262" w:rsidRPr="00E6181D" w:rsidTr="000E7480">
        <w:trPr>
          <w:trHeight w:val="302"/>
        </w:trPr>
        <w:tc>
          <w:tcPr>
            <w:tcW w:w="696" w:type="pct"/>
            <w:tcBorders>
              <w:top w:val="nil"/>
              <w:left w:val="single" w:sz="4" w:space="0" w:color="auto"/>
              <w:bottom w:val="single" w:sz="4" w:space="0" w:color="auto"/>
              <w:right w:val="single" w:sz="4" w:space="0" w:color="auto"/>
            </w:tcBorders>
            <w:shd w:val="clear" w:color="auto" w:fill="auto"/>
            <w:noWrap/>
            <w:vAlign w:val="center"/>
            <w:hideMark/>
          </w:tcPr>
          <w:p w:rsidR="00D63262" w:rsidRPr="00E811D9" w:rsidRDefault="00D63262" w:rsidP="00D63262">
            <w:pPr>
              <w:spacing w:line="240" w:lineRule="auto"/>
              <w:jc w:val="left"/>
              <w:rPr>
                <w:color w:val="000000"/>
                <w:sz w:val="20"/>
                <w:szCs w:val="20"/>
                <w:lang w:val="en-IN" w:eastAsia="en-IN"/>
              </w:rPr>
            </w:pPr>
            <w:r w:rsidRPr="00E811D9">
              <w:rPr>
                <w:color w:val="000000"/>
                <w:sz w:val="20"/>
                <w:szCs w:val="20"/>
                <w:lang w:val="en-IN" w:eastAsia="en-IN"/>
              </w:rPr>
              <w:t xml:space="preserve"> Commercial </w:t>
            </w:r>
          </w:p>
        </w:tc>
        <w:tc>
          <w:tcPr>
            <w:tcW w:w="514" w:type="pct"/>
            <w:tcBorders>
              <w:top w:val="nil"/>
              <w:left w:val="nil"/>
              <w:bottom w:val="single" w:sz="4" w:space="0" w:color="auto"/>
              <w:right w:val="single" w:sz="4" w:space="0" w:color="auto"/>
            </w:tcBorders>
            <w:shd w:val="clear" w:color="auto" w:fill="auto"/>
            <w:noWrap/>
            <w:vAlign w:val="center"/>
            <w:hideMark/>
          </w:tcPr>
          <w:p w:rsidR="00D63262" w:rsidRPr="00E6181D" w:rsidRDefault="00D63262" w:rsidP="00735CAB">
            <w:pPr>
              <w:spacing w:line="240" w:lineRule="auto"/>
              <w:jc w:val="right"/>
              <w:rPr>
                <w:sz w:val="22"/>
                <w:szCs w:val="22"/>
                <w:lang w:val="en-IN" w:eastAsia="en-IN"/>
              </w:rPr>
            </w:pPr>
            <w:r w:rsidRPr="00E6181D">
              <w:rPr>
                <w:sz w:val="22"/>
                <w:szCs w:val="22"/>
                <w:lang w:val="en-IN" w:eastAsia="en-IN"/>
              </w:rPr>
              <w:t>181.00</w:t>
            </w:r>
          </w:p>
        </w:tc>
        <w:tc>
          <w:tcPr>
            <w:tcW w:w="515" w:type="pct"/>
            <w:tcBorders>
              <w:top w:val="nil"/>
              <w:left w:val="nil"/>
              <w:bottom w:val="single" w:sz="4" w:space="0" w:color="auto"/>
              <w:right w:val="single" w:sz="4" w:space="0" w:color="auto"/>
            </w:tcBorders>
            <w:shd w:val="clear" w:color="auto" w:fill="auto"/>
            <w:noWrap/>
            <w:vAlign w:val="center"/>
            <w:hideMark/>
          </w:tcPr>
          <w:p w:rsidR="00D63262" w:rsidRPr="00E6181D" w:rsidRDefault="00D63262" w:rsidP="00735CAB">
            <w:pPr>
              <w:spacing w:line="240" w:lineRule="auto"/>
              <w:jc w:val="right"/>
              <w:rPr>
                <w:sz w:val="22"/>
                <w:szCs w:val="22"/>
                <w:lang w:val="en-IN" w:eastAsia="en-IN"/>
              </w:rPr>
            </w:pPr>
            <w:r w:rsidRPr="00E6181D">
              <w:rPr>
                <w:sz w:val="22"/>
                <w:szCs w:val="22"/>
                <w:lang w:val="en-IN" w:eastAsia="en-IN"/>
              </w:rPr>
              <w:t>182.22</w:t>
            </w:r>
          </w:p>
        </w:tc>
        <w:tc>
          <w:tcPr>
            <w:tcW w:w="502" w:type="pct"/>
            <w:tcBorders>
              <w:top w:val="nil"/>
              <w:left w:val="nil"/>
              <w:bottom w:val="single" w:sz="4" w:space="0" w:color="auto"/>
              <w:right w:val="single" w:sz="4" w:space="0" w:color="auto"/>
            </w:tcBorders>
            <w:shd w:val="clear" w:color="auto" w:fill="auto"/>
            <w:noWrap/>
            <w:vAlign w:val="center"/>
            <w:hideMark/>
          </w:tcPr>
          <w:p w:rsidR="00D63262" w:rsidRPr="00E6181D" w:rsidRDefault="00D63262" w:rsidP="00735CAB">
            <w:pPr>
              <w:spacing w:line="240" w:lineRule="auto"/>
              <w:jc w:val="right"/>
              <w:rPr>
                <w:sz w:val="22"/>
                <w:szCs w:val="22"/>
                <w:lang w:val="en-IN" w:eastAsia="en-IN"/>
              </w:rPr>
            </w:pPr>
            <w:r w:rsidRPr="00E6181D">
              <w:rPr>
                <w:sz w:val="22"/>
                <w:szCs w:val="22"/>
                <w:lang w:val="en-IN" w:eastAsia="en-IN"/>
              </w:rPr>
              <w:t>198.00</w:t>
            </w:r>
          </w:p>
        </w:tc>
        <w:tc>
          <w:tcPr>
            <w:tcW w:w="463" w:type="pct"/>
            <w:tcBorders>
              <w:top w:val="nil"/>
              <w:left w:val="nil"/>
              <w:bottom w:val="single" w:sz="4" w:space="0" w:color="auto"/>
              <w:right w:val="single" w:sz="4" w:space="0" w:color="auto"/>
            </w:tcBorders>
            <w:shd w:val="clear" w:color="auto" w:fill="auto"/>
            <w:noWrap/>
            <w:vAlign w:val="center"/>
            <w:hideMark/>
          </w:tcPr>
          <w:p w:rsidR="00D63262" w:rsidRPr="00E6181D" w:rsidRDefault="00D63262" w:rsidP="00735CAB">
            <w:pPr>
              <w:spacing w:line="240" w:lineRule="auto"/>
              <w:jc w:val="right"/>
              <w:rPr>
                <w:sz w:val="22"/>
                <w:szCs w:val="22"/>
                <w:lang w:val="en-IN" w:eastAsia="en-IN"/>
              </w:rPr>
            </w:pPr>
            <w:r w:rsidRPr="00E6181D">
              <w:rPr>
                <w:sz w:val="22"/>
                <w:szCs w:val="22"/>
                <w:lang w:val="en-IN" w:eastAsia="en-IN"/>
              </w:rPr>
              <w:t>210.92</w:t>
            </w:r>
          </w:p>
        </w:tc>
        <w:tc>
          <w:tcPr>
            <w:tcW w:w="493" w:type="pct"/>
            <w:tcBorders>
              <w:top w:val="nil"/>
              <w:left w:val="nil"/>
              <w:bottom w:val="single" w:sz="4" w:space="0" w:color="auto"/>
              <w:right w:val="single" w:sz="4" w:space="0" w:color="auto"/>
            </w:tcBorders>
            <w:shd w:val="clear" w:color="auto" w:fill="auto"/>
            <w:noWrap/>
            <w:vAlign w:val="center"/>
            <w:hideMark/>
          </w:tcPr>
          <w:p w:rsidR="00D63262" w:rsidRPr="00D63262" w:rsidRDefault="00D63262" w:rsidP="00735CAB">
            <w:pPr>
              <w:spacing w:line="240" w:lineRule="auto"/>
              <w:jc w:val="right"/>
              <w:rPr>
                <w:color w:val="000000"/>
                <w:sz w:val="22"/>
                <w:szCs w:val="22"/>
                <w:lang w:val="en-IN" w:eastAsia="en-IN"/>
              </w:rPr>
            </w:pPr>
            <w:r w:rsidRPr="00D63262">
              <w:rPr>
                <w:color w:val="000000"/>
                <w:sz w:val="22"/>
                <w:szCs w:val="22"/>
                <w:lang w:val="en-IN" w:eastAsia="en-IN"/>
              </w:rPr>
              <w:t>216.4</w:t>
            </w:r>
          </w:p>
        </w:tc>
        <w:tc>
          <w:tcPr>
            <w:tcW w:w="463" w:type="pct"/>
            <w:tcBorders>
              <w:top w:val="nil"/>
              <w:left w:val="nil"/>
              <w:bottom w:val="single" w:sz="4" w:space="0" w:color="auto"/>
              <w:right w:val="single" w:sz="4" w:space="0" w:color="auto"/>
            </w:tcBorders>
            <w:shd w:val="clear" w:color="auto" w:fill="auto"/>
            <w:noWrap/>
            <w:vAlign w:val="center"/>
            <w:hideMark/>
          </w:tcPr>
          <w:p w:rsidR="00D63262" w:rsidRPr="00D63262" w:rsidRDefault="00D63262" w:rsidP="00735CAB">
            <w:pPr>
              <w:spacing w:line="240" w:lineRule="auto"/>
              <w:jc w:val="right"/>
              <w:rPr>
                <w:color w:val="000000"/>
                <w:sz w:val="22"/>
                <w:szCs w:val="22"/>
                <w:lang w:val="en-IN" w:eastAsia="en-IN"/>
              </w:rPr>
            </w:pPr>
            <w:r w:rsidRPr="00D63262">
              <w:rPr>
                <w:color w:val="000000"/>
                <w:sz w:val="22"/>
                <w:szCs w:val="22"/>
                <w:lang w:val="en-IN" w:eastAsia="en-IN"/>
              </w:rPr>
              <w:t>4.57%</w:t>
            </w:r>
          </w:p>
        </w:tc>
        <w:tc>
          <w:tcPr>
            <w:tcW w:w="462" w:type="pct"/>
            <w:tcBorders>
              <w:top w:val="nil"/>
              <w:left w:val="nil"/>
              <w:bottom w:val="single" w:sz="4" w:space="0" w:color="auto"/>
              <w:right w:val="single" w:sz="4" w:space="0" w:color="auto"/>
            </w:tcBorders>
            <w:shd w:val="clear" w:color="auto" w:fill="auto"/>
            <w:noWrap/>
            <w:vAlign w:val="center"/>
            <w:hideMark/>
          </w:tcPr>
          <w:p w:rsidR="00D63262" w:rsidRPr="00D63262" w:rsidRDefault="00D63262" w:rsidP="00735CAB">
            <w:pPr>
              <w:spacing w:line="240" w:lineRule="auto"/>
              <w:jc w:val="right"/>
              <w:rPr>
                <w:color w:val="000000"/>
                <w:sz w:val="22"/>
                <w:szCs w:val="22"/>
                <w:lang w:val="en-IN" w:eastAsia="en-IN"/>
              </w:rPr>
            </w:pPr>
            <w:r w:rsidRPr="00D63262">
              <w:rPr>
                <w:color w:val="000000"/>
                <w:sz w:val="22"/>
                <w:szCs w:val="22"/>
                <w:lang w:val="en-IN" w:eastAsia="en-IN"/>
              </w:rPr>
              <w:t>5.90%</w:t>
            </w:r>
          </w:p>
        </w:tc>
        <w:tc>
          <w:tcPr>
            <w:tcW w:w="460" w:type="pct"/>
            <w:tcBorders>
              <w:top w:val="nil"/>
              <w:left w:val="nil"/>
              <w:bottom w:val="single" w:sz="4" w:space="0" w:color="auto"/>
              <w:right w:val="single" w:sz="4" w:space="0" w:color="auto"/>
            </w:tcBorders>
            <w:shd w:val="clear" w:color="auto" w:fill="auto"/>
            <w:noWrap/>
            <w:vAlign w:val="center"/>
            <w:hideMark/>
          </w:tcPr>
          <w:p w:rsidR="00D63262" w:rsidRPr="00D63262" w:rsidRDefault="00D63262" w:rsidP="00735CAB">
            <w:pPr>
              <w:spacing w:line="240" w:lineRule="auto"/>
              <w:jc w:val="right"/>
              <w:rPr>
                <w:color w:val="000000"/>
                <w:sz w:val="22"/>
                <w:szCs w:val="22"/>
                <w:lang w:val="en-IN" w:eastAsia="en-IN"/>
              </w:rPr>
            </w:pPr>
            <w:r w:rsidRPr="00D63262">
              <w:rPr>
                <w:color w:val="000000"/>
                <w:sz w:val="22"/>
                <w:szCs w:val="22"/>
                <w:lang w:val="en-IN" w:eastAsia="en-IN"/>
              </w:rPr>
              <w:t>4.55%</w:t>
            </w:r>
          </w:p>
        </w:tc>
        <w:tc>
          <w:tcPr>
            <w:tcW w:w="432" w:type="pct"/>
            <w:tcBorders>
              <w:top w:val="nil"/>
              <w:left w:val="nil"/>
              <w:bottom w:val="single" w:sz="4" w:space="0" w:color="auto"/>
              <w:right w:val="single" w:sz="4" w:space="0" w:color="auto"/>
            </w:tcBorders>
            <w:shd w:val="clear" w:color="auto" w:fill="auto"/>
            <w:noWrap/>
            <w:vAlign w:val="center"/>
            <w:hideMark/>
          </w:tcPr>
          <w:p w:rsidR="00D63262" w:rsidRPr="00D63262" w:rsidRDefault="00D63262" w:rsidP="00735CAB">
            <w:pPr>
              <w:spacing w:line="240" w:lineRule="auto"/>
              <w:jc w:val="right"/>
              <w:rPr>
                <w:color w:val="000000"/>
                <w:sz w:val="22"/>
                <w:szCs w:val="22"/>
                <w:lang w:val="en-IN" w:eastAsia="en-IN"/>
              </w:rPr>
            </w:pPr>
            <w:r w:rsidRPr="00D63262">
              <w:rPr>
                <w:color w:val="000000"/>
                <w:sz w:val="22"/>
                <w:szCs w:val="22"/>
                <w:lang w:val="en-IN" w:eastAsia="en-IN"/>
              </w:rPr>
              <w:t>4.57%</w:t>
            </w:r>
          </w:p>
        </w:tc>
      </w:tr>
      <w:tr w:rsidR="00D63262" w:rsidRPr="00E6181D" w:rsidTr="000E7480">
        <w:trPr>
          <w:trHeight w:val="302"/>
        </w:trPr>
        <w:tc>
          <w:tcPr>
            <w:tcW w:w="696" w:type="pct"/>
            <w:tcBorders>
              <w:top w:val="nil"/>
              <w:left w:val="single" w:sz="4" w:space="0" w:color="auto"/>
              <w:bottom w:val="single" w:sz="4" w:space="0" w:color="auto"/>
              <w:right w:val="single" w:sz="4" w:space="0" w:color="auto"/>
            </w:tcBorders>
            <w:shd w:val="clear" w:color="auto" w:fill="auto"/>
            <w:noWrap/>
            <w:vAlign w:val="center"/>
            <w:hideMark/>
          </w:tcPr>
          <w:p w:rsidR="00D63262" w:rsidRPr="00E811D9" w:rsidRDefault="00D63262" w:rsidP="00D63262">
            <w:pPr>
              <w:spacing w:line="240" w:lineRule="auto"/>
              <w:jc w:val="left"/>
              <w:rPr>
                <w:color w:val="000000"/>
                <w:sz w:val="20"/>
                <w:szCs w:val="20"/>
                <w:lang w:val="en-IN" w:eastAsia="en-IN"/>
              </w:rPr>
            </w:pPr>
            <w:r w:rsidRPr="00E811D9">
              <w:rPr>
                <w:color w:val="000000"/>
                <w:sz w:val="20"/>
                <w:szCs w:val="20"/>
                <w:lang w:val="en-IN" w:eastAsia="en-IN"/>
              </w:rPr>
              <w:t xml:space="preserve"> Agriculture </w:t>
            </w:r>
          </w:p>
        </w:tc>
        <w:tc>
          <w:tcPr>
            <w:tcW w:w="514" w:type="pct"/>
            <w:tcBorders>
              <w:top w:val="nil"/>
              <w:left w:val="nil"/>
              <w:bottom w:val="single" w:sz="4" w:space="0" w:color="auto"/>
              <w:right w:val="single" w:sz="4" w:space="0" w:color="auto"/>
            </w:tcBorders>
            <w:shd w:val="clear" w:color="auto" w:fill="auto"/>
            <w:noWrap/>
            <w:vAlign w:val="center"/>
            <w:hideMark/>
          </w:tcPr>
          <w:p w:rsidR="00D63262" w:rsidRPr="00E6181D" w:rsidRDefault="00D63262" w:rsidP="00735CAB">
            <w:pPr>
              <w:spacing w:line="240" w:lineRule="auto"/>
              <w:jc w:val="right"/>
              <w:rPr>
                <w:sz w:val="22"/>
                <w:szCs w:val="22"/>
                <w:lang w:val="en-IN" w:eastAsia="en-IN"/>
              </w:rPr>
            </w:pPr>
            <w:r w:rsidRPr="00E6181D">
              <w:rPr>
                <w:sz w:val="22"/>
                <w:szCs w:val="22"/>
                <w:lang w:val="en-IN" w:eastAsia="en-IN"/>
              </w:rPr>
              <w:t>57.00</w:t>
            </w:r>
          </w:p>
        </w:tc>
        <w:tc>
          <w:tcPr>
            <w:tcW w:w="515" w:type="pct"/>
            <w:tcBorders>
              <w:top w:val="nil"/>
              <w:left w:val="nil"/>
              <w:bottom w:val="single" w:sz="4" w:space="0" w:color="auto"/>
              <w:right w:val="single" w:sz="4" w:space="0" w:color="auto"/>
            </w:tcBorders>
            <w:shd w:val="clear" w:color="auto" w:fill="auto"/>
            <w:noWrap/>
            <w:vAlign w:val="center"/>
            <w:hideMark/>
          </w:tcPr>
          <w:p w:rsidR="00D63262" w:rsidRPr="00E6181D" w:rsidRDefault="00D63262" w:rsidP="00735CAB">
            <w:pPr>
              <w:spacing w:line="240" w:lineRule="auto"/>
              <w:jc w:val="right"/>
              <w:rPr>
                <w:sz w:val="22"/>
                <w:szCs w:val="22"/>
                <w:lang w:val="en-IN" w:eastAsia="en-IN"/>
              </w:rPr>
            </w:pPr>
            <w:r w:rsidRPr="00E6181D">
              <w:rPr>
                <w:sz w:val="22"/>
                <w:szCs w:val="22"/>
                <w:lang w:val="en-IN" w:eastAsia="en-IN"/>
              </w:rPr>
              <w:t>57.00</w:t>
            </w:r>
          </w:p>
        </w:tc>
        <w:tc>
          <w:tcPr>
            <w:tcW w:w="502" w:type="pct"/>
            <w:tcBorders>
              <w:top w:val="nil"/>
              <w:left w:val="nil"/>
              <w:bottom w:val="single" w:sz="4" w:space="0" w:color="auto"/>
              <w:right w:val="single" w:sz="4" w:space="0" w:color="auto"/>
            </w:tcBorders>
            <w:shd w:val="clear" w:color="auto" w:fill="auto"/>
            <w:noWrap/>
            <w:vAlign w:val="center"/>
            <w:hideMark/>
          </w:tcPr>
          <w:p w:rsidR="00D63262" w:rsidRPr="00E6181D" w:rsidRDefault="00D63262" w:rsidP="00735CAB">
            <w:pPr>
              <w:spacing w:line="240" w:lineRule="auto"/>
              <w:jc w:val="right"/>
              <w:rPr>
                <w:sz w:val="22"/>
                <w:szCs w:val="22"/>
                <w:lang w:val="en-IN" w:eastAsia="en-IN"/>
              </w:rPr>
            </w:pPr>
            <w:r w:rsidRPr="00E6181D">
              <w:rPr>
                <w:sz w:val="22"/>
                <w:szCs w:val="22"/>
                <w:lang w:val="en-IN" w:eastAsia="en-IN"/>
              </w:rPr>
              <w:t>57.00</w:t>
            </w:r>
          </w:p>
        </w:tc>
        <w:tc>
          <w:tcPr>
            <w:tcW w:w="463" w:type="pct"/>
            <w:tcBorders>
              <w:top w:val="nil"/>
              <w:left w:val="nil"/>
              <w:bottom w:val="single" w:sz="4" w:space="0" w:color="auto"/>
              <w:right w:val="single" w:sz="4" w:space="0" w:color="auto"/>
            </w:tcBorders>
            <w:shd w:val="clear" w:color="auto" w:fill="auto"/>
            <w:noWrap/>
            <w:vAlign w:val="center"/>
            <w:hideMark/>
          </w:tcPr>
          <w:p w:rsidR="00D63262" w:rsidRPr="00E6181D" w:rsidRDefault="00D63262" w:rsidP="00735CAB">
            <w:pPr>
              <w:spacing w:line="240" w:lineRule="auto"/>
              <w:jc w:val="right"/>
              <w:rPr>
                <w:sz w:val="22"/>
                <w:szCs w:val="22"/>
                <w:lang w:val="en-IN" w:eastAsia="en-IN"/>
              </w:rPr>
            </w:pPr>
            <w:r w:rsidRPr="00E6181D">
              <w:rPr>
                <w:sz w:val="22"/>
                <w:szCs w:val="22"/>
                <w:lang w:val="en-IN" w:eastAsia="en-IN"/>
              </w:rPr>
              <w:t>57.28</w:t>
            </w:r>
          </w:p>
        </w:tc>
        <w:tc>
          <w:tcPr>
            <w:tcW w:w="493" w:type="pct"/>
            <w:tcBorders>
              <w:top w:val="nil"/>
              <w:left w:val="nil"/>
              <w:bottom w:val="single" w:sz="4" w:space="0" w:color="auto"/>
              <w:right w:val="single" w:sz="4" w:space="0" w:color="auto"/>
            </w:tcBorders>
            <w:shd w:val="clear" w:color="auto" w:fill="auto"/>
            <w:noWrap/>
            <w:vAlign w:val="center"/>
            <w:hideMark/>
          </w:tcPr>
          <w:p w:rsidR="00D63262" w:rsidRPr="00D63262" w:rsidRDefault="00D63262" w:rsidP="00735CAB">
            <w:pPr>
              <w:spacing w:line="240" w:lineRule="auto"/>
              <w:jc w:val="right"/>
              <w:rPr>
                <w:color w:val="000000"/>
                <w:sz w:val="22"/>
                <w:szCs w:val="22"/>
                <w:lang w:val="en-IN" w:eastAsia="en-IN"/>
              </w:rPr>
            </w:pPr>
            <w:r w:rsidRPr="00D63262">
              <w:rPr>
                <w:color w:val="000000"/>
                <w:sz w:val="22"/>
                <w:szCs w:val="22"/>
                <w:lang w:val="en-IN" w:eastAsia="en-IN"/>
              </w:rPr>
              <w:t>57.6</w:t>
            </w:r>
          </w:p>
        </w:tc>
        <w:tc>
          <w:tcPr>
            <w:tcW w:w="463" w:type="pct"/>
            <w:tcBorders>
              <w:top w:val="nil"/>
              <w:left w:val="nil"/>
              <w:bottom w:val="single" w:sz="4" w:space="0" w:color="auto"/>
              <w:right w:val="single" w:sz="4" w:space="0" w:color="auto"/>
            </w:tcBorders>
            <w:shd w:val="clear" w:color="auto" w:fill="auto"/>
            <w:noWrap/>
            <w:vAlign w:val="center"/>
            <w:hideMark/>
          </w:tcPr>
          <w:p w:rsidR="00D63262" w:rsidRPr="00D63262" w:rsidRDefault="00D63262" w:rsidP="00735CAB">
            <w:pPr>
              <w:spacing w:line="240" w:lineRule="auto"/>
              <w:jc w:val="right"/>
              <w:rPr>
                <w:color w:val="000000"/>
                <w:sz w:val="22"/>
                <w:szCs w:val="22"/>
                <w:lang w:val="en-IN" w:eastAsia="en-IN"/>
              </w:rPr>
            </w:pPr>
            <w:r w:rsidRPr="00D63262">
              <w:rPr>
                <w:color w:val="000000"/>
                <w:sz w:val="22"/>
                <w:szCs w:val="22"/>
                <w:lang w:val="en-IN" w:eastAsia="en-IN"/>
              </w:rPr>
              <w:t>0.27%</w:t>
            </w:r>
          </w:p>
        </w:tc>
        <w:tc>
          <w:tcPr>
            <w:tcW w:w="462" w:type="pct"/>
            <w:tcBorders>
              <w:top w:val="nil"/>
              <w:left w:val="nil"/>
              <w:bottom w:val="single" w:sz="4" w:space="0" w:color="auto"/>
              <w:right w:val="single" w:sz="4" w:space="0" w:color="auto"/>
            </w:tcBorders>
            <w:shd w:val="clear" w:color="auto" w:fill="auto"/>
            <w:noWrap/>
            <w:vAlign w:val="center"/>
            <w:hideMark/>
          </w:tcPr>
          <w:p w:rsidR="00D63262" w:rsidRPr="00D63262" w:rsidRDefault="00D63262" w:rsidP="00735CAB">
            <w:pPr>
              <w:spacing w:line="240" w:lineRule="auto"/>
              <w:jc w:val="right"/>
              <w:rPr>
                <w:color w:val="000000"/>
                <w:sz w:val="22"/>
                <w:szCs w:val="22"/>
                <w:lang w:val="en-IN" w:eastAsia="en-IN"/>
              </w:rPr>
            </w:pPr>
            <w:r w:rsidRPr="00D63262">
              <w:rPr>
                <w:color w:val="000000"/>
                <w:sz w:val="22"/>
                <w:szCs w:val="22"/>
                <w:lang w:val="en-IN" w:eastAsia="en-IN"/>
              </w:rPr>
              <w:t>0.36%</w:t>
            </w:r>
          </w:p>
        </w:tc>
        <w:tc>
          <w:tcPr>
            <w:tcW w:w="460" w:type="pct"/>
            <w:tcBorders>
              <w:top w:val="nil"/>
              <w:left w:val="nil"/>
              <w:bottom w:val="single" w:sz="4" w:space="0" w:color="auto"/>
              <w:right w:val="single" w:sz="4" w:space="0" w:color="auto"/>
            </w:tcBorders>
            <w:shd w:val="clear" w:color="auto" w:fill="auto"/>
            <w:noWrap/>
            <w:vAlign w:val="center"/>
            <w:hideMark/>
          </w:tcPr>
          <w:p w:rsidR="00D63262" w:rsidRPr="00D63262" w:rsidRDefault="00D63262" w:rsidP="00735CAB">
            <w:pPr>
              <w:spacing w:line="240" w:lineRule="auto"/>
              <w:jc w:val="right"/>
              <w:rPr>
                <w:color w:val="000000"/>
                <w:sz w:val="22"/>
                <w:szCs w:val="22"/>
                <w:lang w:val="en-IN" w:eastAsia="en-IN"/>
              </w:rPr>
            </w:pPr>
            <w:r w:rsidRPr="00D63262">
              <w:rPr>
                <w:color w:val="000000"/>
                <w:sz w:val="22"/>
                <w:szCs w:val="22"/>
                <w:lang w:val="en-IN" w:eastAsia="en-IN"/>
              </w:rPr>
              <w:t>0.53%</w:t>
            </w:r>
          </w:p>
        </w:tc>
        <w:tc>
          <w:tcPr>
            <w:tcW w:w="432" w:type="pct"/>
            <w:tcBorders>
              <w:top w:val="nil"/>
              <w:left w:val="nil"/>
              <w:bottom w:val="single" w:sz="4" w:space="0" w:color="auto"/>
              <w:right w:val="single" w:sz="4" w:space="0" w:color="auto"/>
            </w:tcBorders>
            <w:shd w:val="clear" w:color="auto" w:fill="auto"/>
            <w:noWrap/>
            <w:vAlign w:val="center"/>
            <w:hideMark/>
          </w:tcPr>
          <w:p w:rsidR="00D63262" w:rsidRPr="00D63262" w:rsidRDefault="00D63262" w:rsidP="00735CAB">
            <w:pPr>
              <w:spacing w:line="240" w:lineRule="auto"/>
              <w:jc w:val="right"/>
              <w:rPr>
                <w:color w:val="000000"/>
                <w:sz w:val="22"/>
                <w:szCs w:val="22"/>
                <w:lang w:val="en-IN" w:eastAsia="en-IN"/>
              </w:rPr>
            </w:pPr>
            <w:r w:rsidRPr="00D63262">
              <w:rPr>
                <w:color w:val="000000"/>
                <w:sz w:val="22"/>
                <w:szCs w:val="22"/>
                <w:lang w:val="en-IN" w:eastAsia="en-IN"/>
              </w:rPr>
              <w:t>0.27%</w:t>
            </w:r>
          </w:p>
        </w:tc>
      </w:tr>
      <w:tr w:rsidR="00D63262" w:rsidRPr="00E6181D" w:rsidTr="000E7480">
        <w:trPr>
          <w:trHeight w:val="302"/>
        </w:trPr>
        <w:tc>
          <w:tcPr>
            <w:tcW w:w="696" w:type="pct"/>
            <w:tcBorders>
              <w:top w:val="nil"/>
              <w:left w:val="single" w:sz="4" w:space="0" w:color="auto"/>
              <w:bottom w:val="single" w:sz="4" w:space="0" w:color="auto"/>
              <w:right w:val="single" w:sz="4" w:space="0" w:color="auto"/>
            </w:tcBorders>
            <w:shd w:val="clear" w:color="auto" w:fill="auto"/>
            <w:noWrap/>
            <w:vAlign w:val="center"/>
            <w:hideMark/>
          </w:tcPr>
          <w:p w:rsidR="00D63262" w:rsidRPr="00E811D9" w:rsidRDefault="00D63262" w:rsidP="00D63262">
            <w:pPr>
              <w:spacing w:line="240" w:lineRule="auto"/>
              <w:jc w:val="left"/>
              <w:rPr>
                <w:color w:val="000000"/>
                <w:sz w:val="20"/>
                <w:szCs w:val="20"/>
                <w:lang w:val="en-IN" w:eastAsia="en-IN"/>
              </w:rPr>
            </w:pPr>
            <w:r w:rsidRPr="00E811D9">
              <w:rPr>
                <w:color w:val="000000"/>
                <w:sz w:val="20"/>
                <w:szCs w:val="20"/>
                <w:lang w:val="en-IN" w:eastAsia="en-IN"/>
              </w:rPr>
              <w:t xml:space="preserve"> Street lighting </w:t>
            </w:r>
          </w:p>
        </w:tc>
        <w:tc>
          <w:tcPr>
            <w:tcW w:w="514" w:type="pct"/>
            <w:tcBorders>
              <w:top w:val="nil"/>
              <w:left w:val="nil"/>
              <w:bottom w:val="single" w:sz="4" w:space="0" w:color="auto"/>
              <w:right w:val="single" w:sz="4" w:space="0" w:color="auto"/>
            </w:tcBorders>
            <w:shd w:val="clear" w:color="auto" w:fill="auto"/>
            <w:noWrap/>
            <w:vAlign w:val="center"/>
            <w:hideMark/>
          </w:tcPr>
          <w:p w:rsidR="00D63262" w:rsidRPr="00E6181D" w:rsidRDefault="00D63262" w:rsidP="00735CAB">
            <w:pPr>
              <w:spacing w:line="240" w:lineRule="auto"/>
              <w:jc w:val="right"/>
              <w:rPr>
                <w:sz w:val="22"/>
                <w:szCs w:val="22"/>
                <w:lang w:val="en-IN" w:eastAsia="en-IN"/>
              </w:rPr>
            </w:pPr>
            <w:r w:rsidRPr="00E6181D">
              <w:rPr>
                <w:sz w:val="22"/>
                <w:szCs w:val="22"/>
                <w:lang w:val="en-IN" w:eastAsia="en-IN"/>
              </w:rPr>
              <w:t>26.00</w:t>
            </w:r>
          </w:p>
        </w:tc>
        <w:tc>
          <w:tcPr>
            <w:tcW w:w="515" w:type="pct"/>
            <w:tcBorders>
              <w:top w:val="nil"/>
              <w:left w:val="nil"/>
              <w:bottom w:val="single" w:sz="4" w:space="0" w:color="auto"/>
              <w:right w:val="single" w:sz="4" w:space="0" w:color="auto"/>
            </w:tcBorders>
            <w:shd w:val="clear" w:color="auto" w:fill="auto"/>
            <w:noWrap/>
            <w:vAlign w:val="center"/>
            <w:hideMark/>
          </w:tcPr>
          <w:p w:rsidR="00D63262" w:rsidRPr="00E6181D" w:rsidRDefault="00D63262" w:rsidP="00735CAB">
            <w:pPr>
              <w:spacing w:line="240" w:lineRule="auto"/>
              <w:jc w:val="right"/>
              <w:rPr>
                <w:sz w:val="22"/>
                <w:szCs w:val="22"/>
                <w:lang w:val="en-IN" w:eastAsia="en-IN"/>
              </w:rPr>
            </w:pPr>
            <w:r w:rsidRPr="00E6181D">
              <w:rPr>
                <w:sz w:val="22"/>
                <w:szCs w:val="22"/>
                <w:lang w:val="en-IN" w:eastAsia="en-IN"/>
              </w:rPr>
              <w:t>26.00</w:t>
            </w:r>
          </w:p>
        </w:tc>
        <w:tc>
          <w:tcPr>
            <w:tcW w:w="502" w:type="pct"/>
            <w:tcBorders>
              <w:top w:val="nil"/>
              <w:left w:val="nil"/>
              <w:bottom w:val="single" w:sz="4" w:space="0" w:color="auto"/>
              <w:right w:val="single" w:sz="4" w:space="0" w:color="auto"/>
            </w:tcBorders>
            <w:shd w:val="clear" w:color="auto" w:fill="auto"/>
            <w:noWrap/>
            <w:vAlign w:val="center"/>
            <w:hideMark/>
          </w:tcPr>
          <w:p w:rsidR="00D63262" w:rsidRPr="00E6181D" w:rsidRDefault="00D63262" w:rsidP="00735CAB">
            <w:pPr>
              <w:spacing w:line="240" w:lineRule="auto"/>
              <w:jc w:val="right"/>
              <w:rPr>
                <w:sz w:val="22"/>
                <w:szCs w:val="22"/>
                <w:lang w:val="en-IN" w:eastAsia="en-IN"/>
              </w:rPr>
            </w:pPr>
            <w:r w:rsidRPr="00E6181D">
              <w:rPr>
                <w:sz w:val="22"/>
                <w:szCs w:val="22"/>
                <w:lang w:val="en-IN" w:eastAsia="en-IN"/>
              </w:rPr>
              <w:t>26.00</w:t>
            </w:r>
          </w:p>
        </w:tc>
        <w:tc>
          <w:tcPr>
            <w:tcW w:w="463" w:type="pct"/>
            <w:tcBorders>
              <w:top w:val="nil"/>
              <w:left w:val="nil"/>
              <w:bottom w:val="single" w:sz="4" w:space="0" w:color="auto"/>
              <w:right w:val="single" w:sz="4" w:space="0" w:color="auto"/>
            </w:tcBorders>
            <w:shd w:val="clear" w:color="auto" w:fill="auto"/>
            <w:noWrap/>
            <w:vAlign w:val="center"/>
            <w:hideMark/>
          </w:tcPr>
          <w:p w:rsidR="00D63262" w:rsidRPr="00E6181D" w:rsidRDefault="00D63262" w:rsidP="00735CAB">
            <w:pPr>
              <w:spacing w:line="240" w:lineRule="auto"/>
              <w:jc w:val="right"/>
              <w:rPr>
                <w:sz w:val="22"/>
                <w:szCs w:val="22"/>
                <w:lang w:val="en-IN" w:eastAsia="en-IN"/>
              </w:rPr>
            </w:pPr>
            <w:r w:rsidRPr="00E6181D">
              <w:rPr>
                <w:sz w:val="22"/>
                <w:szCs w:val="22"/>
                <w:lang w:val="en-IN" w:eastAsia="en-IN"/>
              </w:rPr>
              <w:t>24.24</w:t>
            </w:r>
          </w:p>
        </w:tc>
        <w:tc>
          <w:tcPr>
            <w:tcW w:w="493" w:type="pct"/>
            <w:tcBorders>
              <w:top w:val="nil"/>
              <w:left w:val="nil"/>
              <w:bottom w:val="single" w:sz="4" w:space="0" w:color="auto"/>
              <w:right w:val="single" w:sz="4" w:space="0" w:color="auto"/>
            </w:tcBorders>
            <w:shd w:val="clear" w:color="auto" w:fill="auto"/>
            <w:noWrap/>
            <w:vAlign w:val="center"/>
            <w:hideMark/>
          </w:tcPr>
          <w:p w:rsidR="00D63262" w:rsidRPr="00D63262" w:rsidRDefault="00D63262" w:rsidP="00735CAB">
            <w:pPr>
              <w:spacing w:line="240" w:lineRule="auto"/>
              <w:jc w:val="right"/>
              <w:rPr>
                <w:color w:val="000000"/>
                <w:sz w:val="22"/>
                <w:szCs w:val="22"/>
                <w:lang w:val="en-IN" w:eastAsia="en-IN"/>
              </w:rPr>
            </w:pPr>
            <w:r w:rsidRPr="00D63262">
              <w:rPr>
                <w:color w:val="000000"/>
                <w:sz w:val="22"/>
                <w:szCs w:val="22"/>
                <w:lang w:val="en-IN" w:eastAsia="en-IN"/>
              </w:rPr>
              <w:t>24.5</w:t>
            </w:r>
          </w:p>
        </w:tc>
        <w:tc>
          <w:tcPr>
            <w:tcW w:w="463" w:type="pct"/>
            <w:tcBorders>
              <w:top w:val="nil"/>
              <w:left w:val="nil"/>
              <w:bottom w:val="single" w:sz="4" w:space="0" w:color="auto"/>
              <w:right w:val="single" w:sz="4" w:space="0" w:color="auto"/>
            </w:tcBorders>
            <w:shd w:val="clear" w:color="auto" w:fill="auto"/>
            <w:noWrap/>
            <w:vAlign w:val="center"/>
            <w:hideMark/>
          </w:tcPr>
          <w:p w:rsidR="00D63262" w:rsidRPr="00D63262" w:rsidRDefault="00D63262" w:rsidP="00735CAB">
            <w:pPr>
              <w:spacing w:line="240" w:lineRule="auto"/>
              <w:jc w:val="right"/>
              <w:rPr>
                <w:color w:val="000000"/>
                <w:sz w:val="22"/>
                <w:szCs w:val="22"/>
                <w:lang w:val="en-IN" w:eastAsia="en-IN"/>
              </w:rPr>
            </w:pPr>
            <w:r w:rsidRPr="00D63262">
              <w:rPr>
                <w:color w:val="000000"/>
                <w:sz w:val="22"/>
                <w:szCs w:val="22"/>
                <w:lang w:val="en-IN" w:eastAsia="en-IN"/>
              </w:rPr>
              <w:t>-1.49%</w:t>
            </w:r>
          </w:p>
        </w:tc>
        <w:tc>
          <w:tcPr>
            <w:tcW w:w="462" w:type="pct"/>
            <w:tcBorders>
              <w:top w:val="nil"/>
              <w:left w:val="nil"/>
              <w:bottom w:val="single" w:sz="4" w:space="0" w:color="auto"/>
              <w:right w:val="single" w:sz="4" w:space="0" w:color="auto"/>
            </w:tcBorders>
            <w:shd w:val="clear" w:color="auto" w:fill="auto"/>
            <w:noWrap/>
            <w:vAlign w:val="center"/>
            <w:hideMark/>
          </w:tcPr>
          <w:p w:rsidR="00D63262" w:rsidRPr="00D63262" w:rsidRDefault="00D63262" w:rsidP="00735CAB">
            <w:pPr>
              <w:spacing w:line="240" w:lineRule="auto"/>
              <w:jc w:val="right"/>
              <w:rPr>
                <w:color w:val="000000"/>
                <w:sz w:val="22"/>
                <w:szCs w:val="22"/>
                <w:lang w:val="en-IN" w:eastAsia="en-IN"/>
              </w:rPr>
            </w:pPr>
            <w:r w:rsidRPr="00D63262">
              <w:rPr>
                <w:color w:val="000000"/>
                <w:sz w:val="22"/>
                <w:szCs w:val="22"/>
                <w:lang w:val="en-IN" w:eastAsia="en-IN"/>
              </w:rPr>
              <w:t>-1.99%</w:t>
            </w:r>
          </w:p>
        </w:tc>
        <w:tc>
          <w:tcPr>
            <w:tcW w:w="460" w:type="pct"/>
            <w:tcBorders>
              <w:top w:val="nil"/>
              <w:left w:val="nil"/>
              <w:bottom w:val="single" w:sz="4" w:space="0" w:color="auto"/>
              <w:right w:val="single" w:sz="4" w:space="0" w:color="auto"/>
            </w:tcBorders>
            <w:shd w:val="clear" w:color="auto" w:fill="auto"/>
            <w:noWrap/>
            <w:vAlign w:val="center"/>
            <w:hideMark/>
          </w:tcPr>
          <w:p w:rsidR="00D63262" w:rsidRPr="00D63262" w:rsidRDefault="00D63262" w:rsidP="00735CAB">
            <w:pPr>
              <w:spacing w:line="240" w:lineRule="auto"/>
              <w:jc w:val="right"/>
              <w:rPr>
                <w:color w:val="000000"/>
                <w:sz w:val="22"/>
                <w:szCs w:val="22"/>
                <w:lang w:val="en-IN" w:eastAsia="en-IN"/>
              </w:rPr>
            </w:pPr>
            <w:r w:rsidRPr="00D63262">
              <w:rPr>
                <w:color w:val="000000"/>
                <w:sz w:val="22"/>
                <w:szCs w:val="22"/>
                <w:lang w:val="en-IN" w:eastAsia="en-IN"/>
              </w:rPr>
              <w:t>-2.97%</w:t>
            </w:r>
          </w:p>
        </w:tc>
        <w:tc>
          <w:tcPr>
            <w:tcW w:w="432" w:type="pct"/>
            <w:tcBorders>
              <w:top w:val="nil"/>
              <w:left w:val="nil"/>
              <w:bottom w:val="single" w:sz="4" w:space="0" w:color="auto"/>
              <w:right w:val="single" w:sz="4" w:space="0" w:color="auto"/>
            </w:tcBorders>
            <w:shd w:val="clear" w:color="auto" w:fill="auto"/>
            <w:noWrap/>
            <w:vAlign w:val="center"/>
            <w:hideMark/>
          </w:tcPr>
          <w:p w:rsidR="00D63262" w:rsidRPr="00D63262" w:rsidRDefault="00D63262" w:rsidP="00735CAB">
            <w:pPr>
              <w:spacing w:line="240" w:lineRule="auto"/>
              <w:jc w:val="right"/>
              <w:rPr>
                <w:color w:val="000000"/>
                <w:sz w:val="22"/>
                <w:szCs w:val="22"/>
                <w:lang w:val="en-IN" w:eastAsia="en-IN"/>
              </w:rPr>
            </w:pPr>
            <w:r w:rsidRPr="00D63262">
              <w:rPr>
                <w:color w:val="000000"/>
                <w:sz w:val="22"/>
                <w:szCs w:val="22"/>
                <w:lang w:val="en-IN" w:eastAsia="en-IN"/>
              </w:rPr>
              <w:t>0.00%</w:t>
            </w:r>
          </w:p>
        </w:tc>
      </w:tr>
      <w:tr w:rsidR="00D63262" w:rsidRPr="00E6181D" w:rsidTr="000E7480">
        <w:trPr>
          <w:trHeight w:val="302"/>
        </w:trPr>
        <w:tc>
          <w:tcPr>
            <w:tcW w:w="696" w:type="pct"/>
            <w:tcBorders>
              <w:top w:val="nil"/>
              <w:left w:val="single" w:sz="4" w:space="0" w:color="auto"/>
              <w:bottom w:val="single" w:sz="4" w:space="0" w:color="auto"/>
              <w:right w:val="single" w:sz="4" w:space="0" w:color="auto"/>
            </w:tcBorders>
            <w:shd w:val="clear" w:color="auto" w:fill="auto"/>
            <w:noWrap/>
            <w:vAlign w:val="center"/>
            <w:hideMark/>
          </w:tcPr>
          <w:p w:rsidR="00D63262" w:rsidRPr="00E811D9" w:rsidRDefault="00D63262" w:rsidP="00D63262">
            <w:pPr>
              <w:spacing w:line="240" w:lineRule="auto"/>
              <w:jc w:val="left"/>
              <w:rPr>
                <w:color w:val="000000"/>
                <w:sz w:val="20"/>
                <w:szCs w:val="20"/>
                <w:lang w:val="en-IN" w:eastAsia="en-IN"/>
              </w:rPr>
            </w:pPr>
            <w:r w:rsidRPr="00E811D9">
              <w:rPr>
                <w:color w:val="000000"/>
                <w:sz w:val="20"/>
                <w:szCs w:val="20"/>
                <w:lang w:val="en-IN" w:eastAsia="en-IN"/>
              </w:rPr>
              <w:t xml:space="preserve"> LT Industries + Water tank </w:t>
            </w:r>
          </w:p>
        </w:tc>
        <w:tc>
          <w:tcPr>
            <w:tcW w:w="514" w:type="pct"/>
            <w:tcBorders>
              <w:top w:val="nil"/>
              <w:left w:val="nil"/>
              <w:bottom w:val="single" w:sz="4" w:space="0" w:color="auto"/>
              <w:right w:val="single" w:sz="4" w:space="0" w:color="auto"/>
            </w:tcBorders>
            <w:shd w:val="clear" w:color="auto" w:fill="auto"/>
            <w:noWrap/>
            <w:vAlign w:val="center"/>
            <w:hideMark/>
          </w:tcPr>
          <w:p w:rsidR="00D63262" w:rsidRPr="00E6181D" w:rsidRDefault="00D63262" w:rsidP="00735CAB">
            <w:pPr>
              <w:spacing w:line="240" w:lineRule="auto"/>
              <w:jc w:val="right"/>
              <w:rPr>
                <w:sz w:val="22"/>
                <w:szCs w:val="22"/>
                <w:lang w:val="en-IN" w:eastAsia="en-IN"/>
              </w:rPr>
            </w:pPr>
            <w:r w:rsidRPr="00E6181D">
              <w:rPr>
                <w:sz w:val="22"/>
                <w:szCs w:val="22"/>
                <w:lang w:val="en-IN" w:eastAsia="en-IN"/>
              </w:rPr>
              <w:t>226.10</w:t>
            </w:r>
          </w:p>
        </w:tc>
        <w:tc>
          <w:tcPr>
            <w:tcW w:w="515" w:type="pct"/>
            <w:tcBorders>
              <w:top w:val="nil"/>
              <w:left w:val="nil"/>
              <w:bottom w:val="single" w:sz="4" w:space="0" w:color="auto"/>
              <w:right w:val="single" w:sz="4" w:space="0" w:color="auto"/>
            </w:tcBorders>
            <w:shd w:val="clear" w:color="auto" w:fill="auto"/>
            <w:noWrap/>
            <w:vAlign w:val="center"/>
            <w:hideMark/>
          </w:tcPr>
          <w:p w:rsidR="00D63262" w:rsidRPr="00E6181D" w:rsidRDefault="00D63262" w:rsidP="00735CAB">
            <w:pPr>
              <w:spacing w:line="240" w:lineRule="auto"/>
              <w:jc w:val="right"/>
              <w:rPr>
                <w:sz w:val="22"/>
                <w:szCs w:val="22"/>
                <w:lang w:val="en-IN" w:eastAsia="en-IN"/>
              </w:rPr>
            </w:pPr>
            <w:r w:rsidRPr="00E6181D">
              <w:rPr>
                <w:sz w:val="22"/>
                <w:szCs w:val="22"/>
                <w:lang w:val="en-IN" w:eastAsia="en-IN"/>
              </w:rPr>
              <w:t>198.90</w:t>
            </w:r>
          </w:p>
        </w:tc>
        <w:tc>
          <w:tcPr>
            <w:tcW w:w="502" w:type="pct"/>
            <w:tcBorders>
              <w:top w:val="nil"/>
              <w:left w:val="nil"/>
              <w:bottom w:val="single" w:sz="4" w:space="0" w:color="auto"/>
              <w:right w:val="single" w:sz="4" w:space="0" w:color="auto"/>
            </w:tcBorders>
            <w:shd w:val="clear" w:color="auto" w:fill="auto"/>
            <w:noWrap/>
            <w:vAlign w:val="center"/>
            <w:hideMark/>
          </w:tcPr>
          <w:p w:rsidR="00D63262" w:rsidRPr="00E6181D" w:rsidRDefault="00D63262" w:rsidP="00735CAB">
            <w:pPr>
              <w:spacing w:line="240" w:lineRule="auto"/>
              <w:jc w:val="right"/>
              <w:rPr>
                <w:sz w:val="22"/>
                <w:szCs w:val="22"/>
                <w:lang w:val="en-IN" w:eastAsia="en-IN"/>
              </w:rPr>
            </w:pPr>
            <w:r w:rsidRPr="00E6181D">
              <w:rPr>
                <w:sz w:val="22"/>
                <w:szCs w:val="22"/>
                <w:lang w:val="en-IN" w:eastAsia="en-IN"/>
              </w:rPr>
              <w:t>205.00</w:t>
            </w:r>
          </w:p>
        </w:tc>
        <w:tc>
          <w:tcPr>
            <w:tcW w:w="463" w:type="pct"/>
            <w:tcBorders>
              <w:top w:val="nil"/>
              <w:left w:val="nil"/>
              <w:bottom w:val="single" w:sz="4" w:space="0" w:color="auto"/>
              <w:right w:val="single" w:sz="4" w:space="0" w:color="auto"/>
            </w:tcBorders>
            <w:shd w:val="clear" w:color="auto" w:fill="auto"/>
            <w:noWrap/>
            <w:vAlign w:val="center"/>
            <w:hideMark/>
          </w:tcPr>
          <w:p w:rsidR="00D63262" w:rsidRPr="00E6181D" w:rsidRDefault="00D63262" w:rsidP="00735CAB">
            <w:pPr>
              <w:spacing w:line="240" w:lineRule="auto"/>
              <w:jc w:val="right"/>
              <w:rPr>
                <w:sz w:val="22"/>
                <w:szCs w:val="22"/>
                <w:lang w:val="en-IN" w:eastAsia="en-IN"/>
              </w:rPr>
            </w:pPr>
            <w:r w:rsidRPr="00E6181D">
              <w:rPr>
                <w:sz w:val="22"/>
                <w:szCs w:val="22"/>
                <w:lang w:val="en-IN" w:eastAsia="en-IN"/>
              </w:rPr>
              <w:t>190.67</w:t>
            </w:r>
          </w:p>
        </w:tc>
        <w:tc>
          <w:tcPr>
            <w:tcW w:w="493" w:type="pct"/>
            <w:tcBorders>
              <w:top w:val="nil"/>
              <w:left w:val="nil"/>
              <w:bottom w:val="single" w:sz="4" w:space="0" w:color="auto"/>
              <w:right w:val="single" w:sz="4" w:space="0" w:color="auto"/>
            </w:tcBorders>
            <w:shd w:val="clear" w:color="auto" w:fill="auto"/>
            <w:noWrap/>
            <w:vAlign w:val="center"/>
            <w:hideMark/>
          </w:tcPr>
          <w:p w:rsidR="00D63262" w:rsidRPr="00D63262" w:rsidRDefault="00D63262" w:rsidP="00735CAB">
            <w:pPr>
              <w:spacing w:line="240" w:lineRule="auto"/>
              <w:jc w:val="right"/>
              <w:rPr>
                <w:color w:val="000000"/>
                <w:sz w:val="22"/>
                <w:szCs w:val="22"/>
                <w:lang w:val="en-IN" w:eastAsia="en-IN"/>
              </w:rPr>
            </w:pPr>
            <w:r w:rsidRPr="00D63262">
              <w:rPr>
                <w:color w:val="000000"/>
                <w:sz w:val="22"/>
                <w:szCs w:val="22"/>
                <w:lang w:val="en-IN" w:eastAsia="en-IN"/>
              </w:rPr>
              <w:t>185.6</w:t>
            </w:r>
          </w:p>
        </w:tc>
        <w:tc>
          <w:tcPr>
            <w:tcW w:w="463" w:type="pct"/>
            <w:tcBorders>
              <w:top w:val="nil"/>
              <w:left w:val="nil"/>
              <w:bottom w:val="single" w:sz="4" w:space="0" w:color="auto"/>
              <w:right w:val="single" w:sz="4" w:space="0" w:color="auto"/>
            </w:tcBorders>
            <w:shd w:val="clear" w:color="auto" w:fill="auto"/>
            <w:noWrap/>
            <w:vAlign w:val="center"/>
            <w:hideMark/>
          </w:tcPr>
          <w:p w:rsidR="00D63262" w:rsidRPr="00D63262" w:rsidRDefault="00D63262" w:rsidP="00735CAB">
            <w:pPr>
              <w:spacing w:line="240" w:lineRule="auto"/>
              <w:jc w:val="right"/>
              <w:rPr>
                <w:color w:val="000000"/>
                <w:sz w:val="22"/>
                <w:szCs w:val="22"/>
                <w:lang w:val="en-IN" w:eastAsia="en-IN"/>
              </w:rPr>
            </w:pPr>
            <w:r w:rsidRPr="00D63262">
              <w:rPr>
                <w:color w:val="000000"/>
                <w:sz w:val="22"/>
                <w:szCs w:val="22"/>
                <w:lang w:val="en-IN" w:eastAsia="en-IN"/>
              </w:rPr>
              <w:t>-4.81%</w:t>
            </w:r>
          </w:p>
        </w:tc>
        <w:tc>
          <w:tcPr>
            <w:tcW w:w="462" w:type="pct"/>
            <w:tcBorders>
              <w:top w:val="nil"/>
              <w:left w:val="nil"/>
              <w:bottom w:val="single" w:sz="4" w:space="0" w:color="auto"/>
              <w:right w:val="single" w:sz="4" w:space="0" w:color="auto"/>
            </w:tcBorders>
            <w:shd w:val="clear" w:color="auto" w:fill="auto"/>
            <w:noWrap/>
            <w:vAlign w:val="center"/>
            <w:hideMark/>
          </w:tcPr>
          <w:p w:rsidR="00D63262" w:rsidRPr="00D63262" w:rsidRDefault="00D63262" w:rsidP="00735CAB">
            <w:pPr>
              <w:spacing w:line="240" w:lineRule="auto"/>
              <w:jc w:val="right"/>
              <w:rPr>
                <w:color w:val="000000"/>
                <w:sz w:val="22"/>
                <w:szCs w:val="22"/>
                <w:lang w:val="en-IN" w:eastAsia="en-IN"/>
              </w:rPr>
            </w:pPr>
            <w:r w:rsidRPr="00D63262">
              <w:rPr>
                <w:color w:val="000000"/>
                <w:sz w:val="22"/>
                <w:szCs w:val="22"/>
                <w:lang w:val="en-IN" w:eastAsia="en-IN"/>
              </w:rPr>
              <w:t>-2.28%</w:t>
            </w:r>
          </w:p>
        </w:tc>
        <w:tc>
          <w:tcPr>
            <w:tcW w:w="460" w:type="pct"/>
            <w:tcBorders>
              <w:top w:val="nil"/>
              <w:left w:val="nil"/>
              <w:bottom w:val="single" w:sz="4" w:space="0" w:color="auto"/>
              <w:right w:val="single" w:sz="4" w:space="0" w:color="auto"/>
            </w:tcBorders>
            <w:shd w:val="clear" w:color="auto" w:fill="auto"/>
            <w:noWrap/>
            <w:vAlign w:val="center"/>
            <w:hideMark/>
          </w:tcPr>
          <w:p w:rsidR="00D63262" w:rsidRPr="00D63262" w:rsidRDefault="00D63262" w:rsidP="00735CAB">
            <w:pPr>
              <w:spacing w:line="240" w:lineRule="auto"/>
              <w:jc w:val="right"/>
              <w:rPr>
                <w:color w:val="000000"/>
                <w:sz w:val="22"/>
                <w:szCs w:val="22"/>
                <w:lang w:val="en-IN" w:eastAsia="en-IN"/>
              </w:rPr>
            </w:pPr>
            <w:r w:rsidRPr="00D63262">
              <w:rPr>
                <w:color w:val="000000"/>
                <w:sz w:val="22"/>
                <w:szCs w:val="22"/>
                <w:lang w:val="en-IN" w:eastAsia="en-IN"/>
              </w:rPr>
              <w:t>-4.85%</w:t>
            </w:r>
          </w:p>
        </w:tc>
        <w:tc>
          <w:tcPr>
            <w:tcW w:w="432" w:type="pct"/>
            <w:tcBorders>
              <w:top w:val="nil"/>
              <w:left w:val="nil"/>
              <w:bottom w:val="single" w:sz="4" w:space="0" w:color="auto"/>
              <w:right w:val="single" w:sz="4" w:space="0" w:color="auto"/>
            </w:tcBorders>
            <w:shd w:val="clear" w:color="auto" w:fill="auto"/>
            <w:noWrap/>
            <w:vAlign w:val="center"/>
            <w:hideMark/>
          </w:tcPr>
          <w:p w:rsidR="00D63262" w:rsidRPr="00D63262" w:rsidRDefault="00D63262" w:rsidP="00735CAB">
            <w:pPr>
              <w:spacing w:line="240" w:lineRule="auto"/>
              <w:jc w:val="right"/>
              <w:rPr>
                <w:color w:val="000000"/>
                <w:sz w:val="22"/>
                <w:szCs w:val="22"/>
                <w:lang w:val="en-IN" w:eastAsia="en-IN"/>
              </w:rPr>
            </w:pPr>
            <w:r w:rsidRPr="00D63262">
              <w:rPr>
                <w:color w:val="000000"/>
                <w:sz w:val="22"/>
                <w:szCs w:val="22"/>
                <w:lang w:val="en-IN" w:eastAsia="en-IN"/>
              </w:rPr>
              <w:t>0.00%</w:t>
            </w:r>
          </w:p>
        </w:tc>
      </w:tr>
      <w:tr w:rsidR="00B0771A" w:rsidRPr="00E6181D" w:rsidTr="000E7480">
        <w:trPr>
          <w:trHeight w:val="302"/>
        </w:trPr>
        <w:tc>
          <w:tcPr>
            <w:tcW w:w="696" w:type="pct"/>
            <w:tcBorders>
              <w:top w:val="nil"/>
              <w:left w:val="single" w:sz="4" w:space="0" w:color="auto"/>
              <w:bottom w:val="single" w:sz="4" w:space="0" w:color="auto"/>
              <w:right w:val="single" w:sz="4" w:space="0" w:color="auto"/>
            </w:tcBorders>
            <w:shd w:val="clear" w:color="auto" w:fill="auto"/>
            <w:noWrap/>
            <w:vAlign w:val="center"/>
          </w:tcPr>
          <w:p w:rsidR="00B0771A" w:rsidRPr="00E811D9" w:rsidRDefault="00B0771A" w:rsidP="00B0771A">
            <w:pPr>
              <w:spacing w:line="240" w:lineRule="auto"/>
              <w:jc w:val="left"/>
              <w:rPr>
                <w:color w:val="000000"/>
                <w:sz w:val="20"/>
                <w:szCs w:val="20"/>
                <w:lang w:val="en-IN" w:eastAsia="en-IN"/>
              </w:rPr>
            </w:pPr>
            <w:r>
              <w:rPr>
                <w:color w:val="000000"/>
                <w:sz w:val="20"/>
                <w:szCs w:val="20"/>
                <w:lang w:val="en-IN" w:eastAsia="en-IN"/>
              </w:rPr>
              <w:t>Temporary</w:t>
            </w:r>
          </w:p>
        </w:tc>
        <w:tc>
          <w:tcPr>
            <w:tcW w:w="514" w:type="pct"/>
            <w:tcBorders>
              <w:top w:val="nil"/>
              <w:left w:val="nil"/>
              <w:bottom w:val="single" w:sz="4" w:space="0" w:color="auto"/>
              <w:right w:val="single" w:sz="4" w:space="0" w:color="auto"/>
            </w:tcBorders>
            <w:shd w:val="clear" w:color="auto" w:fill="auto"/>
            <w:noWrap/>
            <w:vAlign w:val="center"/>
          </w:tcPr>
          <w:p w:rsidR="00B0771A" w:rsidRDefault="00B0771A" w:rsidP="00735CAB">
            <w:pPr>
              <w:spacing w:line="240" w:lineRule="auto"/>
              <w:jc w:val="right"/>
              <w:rPr>
                <w:sz w:val="22"/>
                <w:szCs w:val="22"/>
                <w:lang w:val="en-IN"/>
              </w:rPr>
            </w:pPr>
            <w:r>
              <w:rPr>
                <w:sz w:val="22"/>
                <w:szCs w:val="22"/>
              </w:rPr>
              <w:t>10.1</w:t>
            </w:r>
          </w:p>
        </w:tc>
        <w:tc>
          <w:tcPr>
            <w:tcW w:w="515" w:type="pct"/>
            <w:tcBorders>
              <w:top w:val="nil"/>
              <w:left w:val="nil"/>
              <w:bottom w:val="single" w:sz="4" w:space="0" w:color="auto"/>
              <w:right w:val="single" w:sz="4" w:space="0" w:color="auto"/>
            </w:tcBorders>
            <w:shd w:val="clear" w:color="auto" w:fill="auto"/>
            <w:noWrap/>
            <w:vAlign w:val="center"/>
          </w:tcPr>
          <w:p w:rsidR="00B0771A" w:rsidRDefault="00B0771A" w:rsidP="00735CAB">
            <w:pPr>
              <w:jc w:val="right"/>
              <w:rPr>
                <w:sz w:val="22"/>
                <w:szCs w:val="22"/>
              </w:rPr>
            </w:pPr>
            <w:r>
              <w:rPr>
                <w:sz w:val="22"/>
                <w:szCs w:val="22"/>
              </w:rPr>
              <w:t>6.1</w:t>
            </w:r>
          </w:p>
        </w:tc>
        <w:tc>
          <w:tcPr>
            <w:tcW w:w="502" w:type="pct"/>
            <w:tcBorders>
              <w:top w:val="nil"/>
              <w:left w:val="nil"/>
              <w:bottom w:val="single" w:sz="4" w:space="0" w:color="auto"/>
              <w:right w:val="single" w:sz="4" w:space="0" w:color="auto"/>
            </w:tcBorders>
            <w:shd w:val="clear" w:color="auto" w:fill="auto"/>
            <w:noWrap/>
            <w:vAlign w:val="center"/>
          </w:tcPr>
          <w:p w:rsidR="00B0771A" w:rsidRDefault="00B0771A" w:rsidP="00735CAB">
            <w:pPr>
              <w:jc w:val="right"/>
              <w:rPr>
                <w:sz w:val="22"/>
                <w:szCs w:val="22"/>
              </w:rPr>
            </w:pPr>
            <w:r>
              <w:rPr>
                <w:sz w:val="22"/>
                <w:szCs w:val="22"/>
              </w:rPr>
              <w:t>7.0</w:t>
            </w:r>
          </w:p>
        </w:tc>
        <w:tc>
          <w:tcPr>
            <w:tcW w:w="463" w:type="pct"/>
            <w:tcBorders>
              <w:top w:val="nil"/>
              <w:left w:val="nil"/>
              <w:bottom w:val="single" w:sz="4" w:space="0" w:color="auto"/>
              <w:right w:val="single" w:sz="4" w:space="0" w:color="auto"/>
            </w:tcBorders>
            <w:shd w:val="clear" w:color="auto" w:fill="auto"/>
            <w:noWrap/>
            <w:vAlign w:val="center"/>
          </w:tcPr>
          <w:p w:rsidR="00B0771A" w:rsidRDefault="00B0771A" w:rsidP="00735CAB">
            <w:pPr>
              <w:jc w:val="right"/>
              <w:rPr>
                <w:sz w:val="22"/>
                <w:szCs w:val="22"/>
              </w:rPr>
            </w:pPr>
            <w:r>
              <w:rPr>
                <w:sz w:val="22"/>
                <w:szCs w:val="22"/>
              </w:rPr>
              <w:t>8.0</w:t>
            </w:r>
          </w:p>
        </w:tc>
        <w:tc>
          <w:tcPr>
            <w:tcW w:w="493" w:type="pct"/>
            <w:tcBorders>
              <w:top w:val="nil"/>
              <w:left w:val="nil"/>
              <w:bottom w:val="single" w:sz="4" w:space="0" w:color="auto"/>
              <w:right w:val="single" w:sz="4" w:space="0" w:color="auto"/>
            </w:tcBorders>
            <w:shd w:val="clear" w:color="auto" w:fill="auto"/>
            <w:noWrap/>
            <w:vAlign w:val="center"/>
          </w:tcPr>
          <w:p w:rsidR="00B0771A" w:rsidRDefault="00B0771A" w:rsidP="00735CAB">
            <w:pPr>
              <w:jc w:val="right"/>
              <w:rPr>
                <w:sz w:val="22"/>
                <w:szCs w:val="22"/>
              </w:rPr>
            </w:pPr>
            <w:r>
              <w:rPr>
                <w:sz w:val="22"/>
                <w:szCs w:val="22"/>
              </w:rPr>
              <w:t>8.5</w:t>
            </w:r>
          </w:p>
        </w:tc>
        <w:tc>
          <w:tcPr>
            <w:tcW w:w="463" w:type="pct"/>
            <w:tcBorders>
              <w:top w:val="nil"/>
              <w:left w:val="nil"/>
              <w:bottom w:val="single" w:sz="4" w:space="0" w:color="auto"/>
              <w:right w:val="single" w:sz="4" w:space="0" w:color="auto"/>
            </w:tcBorders>
            <w:shd w:val="clear" w:color="auto" w:fill="auto"/>
            <w:noWrap/>
            <w:vAlign w:val="center"/>
          </w:tcPr>
          <w:p w:rsidR="00B0771A" w:rsidRDefault="00B0771A" w:rsidP="00735CAB">
            <w:pPr>
              <w:jc w:val="right"/>
              <w:rPr>
                <w:sz w:val="22"/>
                <w:szCs w:val="22"/>
              </w:rPr>
            </w:pPr>
            <w:r>
              <w:rPr>
                <w:sz w:val="22"/>
                <w:szCs w:val="22"/>
              </w:rPr>
              <w:t>-4.28%</w:t>
            </w:r>
          </w:p>
        </w:tc>
        <w:tc>
          <w:tcPr>
            <w:tcW w:w="462" w:type="pct"/>
            <w:tcBorders>
              <w:top w:val="nil"/>
              <w:left w:val="nil"/>
              <w:bottom w:val="single" w:sz="4" w:space="0" w:color="auto"/>
              <w:right w:val="single" w:sz="4" w:space="0" w:color="auto"/>
            </w:tcBorders>
            <w:shd w:val="clear" w:color="auto" w:fill="auto"/>
            <w:noWrap/>
            <w:vAlign w:val="center"/>
          </w:tcPr>
          <w:p w:rsidR="00B0771A" w:rsidRDefault="00B0771A" w:rsidP="00735CAB">
            <w:pPr>
              <w:jc w:val="right"/>
              <w:rPr>
                <w:sz w:val="22"/>
                <w:szCs w:val="22"/>
              </w:rPr>
            </w:pPr>
            <w:r>
              <w:rPr>
                <w:sz w:val="22"/>
                <w:szCs w:val="22"/>
              </w:rPr>
              <w:t>11.48%</w:t>
            </w:r>
          </w:p>
        </w:tc>
        <w:tc>
          <w:tcPr>
            <w:tcW w:w="460" w:type="pct"/>
            <w:tcBorders>
              <w:top w:val="nil"/>
              <w:left w:val="nil"/>
              <w:bottom w:val="single" w:sz="4" w:space="0" w:color="auto"/>
              <w:right w:val="single" w:sz="4" w:space="0" w:color="auto"/>
            </w:tcBorders>
            <w:shd w:val="clear" w:color="auto" w:fill="auto"/>
            <w:noWrap/>
            <w:vAlign w:val="center"/>
          </w:tcPr>
          <w:p w:rsidR="00B0771A" w:rsidRDefault="00B0771A" w:rsidP="00735CAB">
            <w:pPr>
              <w:jc w:val="right"/>
              <w:rPr>
                <w:sz w:val="22"/>
                <w:szCs w:val="22"/>
              </w:rPr>
            </w:pPr>
            <w:r>
              <w:rPr>
                <w:sz w:val="22"/>
                <w:szCs w:val="22"/>
              </w:rPr>
              <w:t>10.06%</w:t>
            </w:r>
          </w:p>
        </w:tc>
        <w:tc>
          <w:tcPr>
            <w:tcW w:w="432" w:type="pct"/>
            <w:tcBorders>
              <w:top w:val="nil"/>
              <w:left w:val="nil"/>
              <w:bottom w:val="single" w:sz="4" w:space="0" w:color="auto"/>
              <w:right w:val="single" w:sz="4" w:space="0" w:color="auto"/>
            </w:tcBorders>
            <w:shd w:val="clear" w:color="auto" w:fill="auto"/>
            <w:noWrap/>
            <w:vAlign w:val="center"/>
          </w:tcPr>
          <w:p w:rsidR="00B0771A" w:rsidRDefault="00B0771A" w:rsidP="00735CAB">
            <w:pPr>
              <w:jc w:val="right"/>
              <w:rPr>
                <w:sz w:val="22"/>
                <w:szCs w:val="22"/>
              </w:rPr>
            </w:pPr>
            <w:r>
              <w:rPr>
                <w:sz w:val="22"/>
                <w:szCs w:val="22"/>
              </w:rPr>
              <w:t>10.06%</w:t>
            </w:r>
          </w:p>
        </w:tc>
      </w:tr>
      <w:tr w:rsidR="00B0771A" w:rsidRPr="00E6181D" w:rsidTr="000E7480">
        <w:trPr>
          <w:trHeight w:val="302"/>
        </w:trPr>
        <w:tc>
          <w:tcPr>
            <w:tcW w:w="696" w:type="pct"/>
            <w:tcBorders>
              <w:top w:val="nil"/>
              <w:left w:val="single" w:sz="4" w:space="0" w:color="auto"/>
              <w:bottom w:val="single" w:sz="4" w:space="0" w:color="auto"/>
              <w:right w:val="single" w:sz="4" w:space="0" w:color="auto"/>
            </w:tcBorders>
            <w:shd w:val="clear" w:color="auto" w:fill="auto"/>
            <w:noWrap/>
            <w:vAlign w:val="center"/>
            <w:hideMark/>
          </w:tcPr>
          <w:p w:rsidR="00B0771A" w:rsidRPr="00E811D9" w:rsidRDefault="00B0771A" w:rsidP="00B0771A">
            <w:pPr>
              <w:spacing w:line="240" w:lineRule="auto"/>
              <w:jc w:val="left"/>
              <w:rPr>
                <w:color w:val="000000"/>
                <w:sz w:val="20"/>
                <w:szCs w:val="20"/>
                <w:lang w:val="en-IN" w:eastAsia="en-IN"/>
              </w:rPr>
            </w:pPr>
            <w:r w:rsidRPr="00E811D9">
              <w:rPr>
                <w:color w:val="000000"/>
                <w:sz w:val="20"/>
                <w:szCs w:val="20"/>
                <w:lang w:val="en-IN" w:eastAsia="en-IN"/>
              </w:rPr>
              <w:t xml:space="preserve"> HT-I </w:t>
            </w:r>
          </w:p>
        </w:tc>
        <w:tc>
          <w:tcPr>
            <w:tcW w:w="514" w:type="pct"/>
            <w:tcBorders>
              <w:top w:val="nil"/>
              <w:left w:val="nil"/>
              <w:bottom w:val="single" w:sz="4" w:space="0" w:color="auto"/>
              <w:right w:val="single" w:sz="4" w:space="0" w:color="auto"/>
            </w:tcBorders>
            <w:shd w:val="clear" w:color="auto" w:fill="auto"/>
            <w:noWrap/>
            <w:vAlign w:val="center"/>
            <w:hideMark/>
          </w:tcPr>
          <w:p w:rsidR="00B0771A" w:rsidRPr="00E6181D" w:rsidRDefault="00B0771A" w:rsidP="00735CAB">
            <w:pPr>
              <w:spacing w:line="240" w:lineRule="auto"/>
              <w:jc w:val="right"/>
              <w:rPr>
                <w:color w:val="000000"/>
                <w:sz w:val="22"/>
                <w:szCs w:val="22"/>
                <w:lang w:val="en-IN" w:eastAsia="en-IN"/>
              </w:rPr>
            </w:pPr>
            <w:r w:rsidRPr="00E6181D">
              <w:rPr>
                <w:color w:val="000000"/>
                <w:sz w:val="22"/>
                <w:szCs w:val="22"/>
                <w:lang w:val="en-IN" w:eastAsia="en-IN"/>
              </w:rPr>
              <w:t>878.01</w:t>
            </w:r>
          </w:p>
        </w:tc>
        <w:tc>
          <w:tcPr>
            <w:tcW w:w="515" w:type="pct"/>
            <w:tcBorders>
              <w:top w:val="nil"/>
              <w:left w:val="nil"/>
              <w:bottom w:val="single" w:sz="4" w:space="0" w:color="auto"/>
              <w:right w:val="single" w:sz="4" w:space="0" w:color="auto"/>
            </w:tcBorders>
            <w:shd w:val="clear" w:color="auto" w:fill="auto"/>
            <w:noWrap/>
            <w:vAlign w:val="center"/>
            <w:hideMark/>
          </w:tcPr>
          <w:p w:rsidR="00B0771A" w:rsidRPr="00E6181D" w:rsidRDefault="00B0771A" w:rsidP="00735CAB">
            <w:pPr>
              <w:spacing w:line="240" w:lineRule="auto"/>
              <w:jc w:val="right"/>
              <w:rPr>
                <w:color w:val="000000"/>
                <w:sz w:val="22"/>
                <w:szCs w:val="22"/>
                <w:lang w:val="en-IN" w:eastAsia="en-IN"/>
              </w:rPr>
            </w:pPr>
            <w:r w:rsidRPr="00E6181D">
              <w:rPr>
                <w:color w:val="000000"/>
                <w:sz w:val="22"/>
                <w:szCs w:val="22"/>
                <w:lang w:val="en-IN" w:eastAsia="en-IN"/>
              </w:rPr>
              <w:t>875.29</w:t>
            </w:r>
          </w:p>
        </w:tc>
        <w:tc>
          <w:tcPr>
            <w:tcW w:w="502" w:type="pct"/>
            <w:tcBorders>
              <w:top w:val="nil"/>
              <w:left w:val="nil"/>
              <w:bottom w:val="single" w:sz="4" w:space="0" w:color="auto"/>
              <w:right w:val="single" w:sz="4" w:space="0" w:color="auto"/>
            </w:tcBorders>
            <w:shd w:val="clear" w:color="auto" w:fill="auto"/>
            <w:noWrap/>
            <w:vAlign w:val="center"/>
            <w:hideMark/>
          </w:tcPr>
          <w:p w:rsidR="00B0771A" w:rsidRPr="00E6181D" w:rsidRDefault="00B0771A" w:rsidP="00735CAB">
            <w:pPr>
              <w:spacing w:line="240" w:lineRule="auto"/>
              <w:jc w:val="right"/>
              <w:rPr>
                <w:color w:val="000000"/>
                <w:sz w:val="22"/>
                <w:szCs w:val="22"/>
                <w:lang w:val="en-IN" w:eastAsia="en-IN"/>
              </w:rPr>
            </w:pPr>
            <w:r w:rsidRPr="00E6181D">
              <w:rPr>
                <w:color w:val="000000"/>
                <w:sz w:val="22"/>
                <w:szCs w:val="22"/>
                <w:lang w:val="en-IN" w:eastAsia="en-IN"/>
              </w:rPr>
              <w:t>892.00</w:t>
            </w:r>
          </w:p>
        </w:tc>
        <w:tc>
          <w:tcPr>
            <w:tcW w:w="463" w:type="pct"/>
            <w:tcBorders>
              <w:top w:val="nil"/>
              <w:left w:val="nil"/>
              <w:bottom w:val="single" w:sz="4" w:space="0" w:color="auto"/>
              <w:right w:val="single" w:sz="4" w:space="0" w:color="auto"/>
            </w:tcBorders>
            <w:shd w:val="clear" w:color="auto" w:fill="auto"/>
            <w:noWrap/>
            <w:vAlign w:val="center"/>
            <w:hideMark/>
          </w:tcPr>
          <w:p w:rsidR="00B0771A" w:rsidRPr="00E6181D" w:rsidRDefault="00B0771A" w:rsidP="00735CAB">
            <w:pPr>
              <w:spacing w:line="240" w:lineRule="auto"/>
              <w:jc w:val="right"/>
              <w:rPr>
                <w:color w:val="000000"/>
                <w:sz w:val="22"/>
                <w:szCs w:val="22"/>
                <w:lang w:val="en-IN" w:eastAsia="en-IN"/>
              </w:rPr>
            </w:pPr>
            <w:r w:rsidRPr="00E6181D">
              <w:rPr>
                <w:color w:val="000000"/>
                <w:sz w:val="22"/>
                <w:szCs w:val="22"/>
                <w:lang w:val="en-IN" w:eastAsia="en-IN"/>
              </w:rPr>
              <w:t>944.15</w:t>
            </w:r>
          </w:p>
        </w:tc>
        <w:tc>
          <w:tcPr>
            <w:tcW w:w="493" w:type="pct"/>
            <w:tcBorders>
              <w:top w:val="nil"/>
              <w:left w:val="nil"/>
              <w:bottom w:val="single" w:sz="4" w:space="0" w:color="auto"/>
              <w:right w:val="single" w:sz="4" w:space="0" w:color="auto"/>
            </w:tcBorders>
            <w:shd w:val="clear" w:color="auto" w:fill="auto"/>
            <w:noWrap/>
            <w:vAlign w:val="center"/>
            <w:hideMark/>
          </w:tcPr>
          <w:p w:rsidR="00B0771A" w:rsidRPr="00D63262" w:rsidRDefault="00B0771A" w:rsidP="00735CAB">
            <w:pPr>
              <w:spacing w:line="240" w:lineRule="auto"/>
              <w:jc w:val="right"/>
              <w:rPr>
                <w:color w:val="000000"/>
                <w:sz w:val="22"/>
                <w:szCs w:val="22"/>
                <w:lang w:val="en-IN" w:eastAsia="en-IN"/>
              </w:rPr>
            </w:pPr>
            <w:r w:rsidRPr="00D63262">
              <w:rPr>
                <w:color w:val="000000"/>
                <w:sz w:val="22"/>
                <w:szCs w:val="22"/>
                <w:lang w:val="en-IN" w:eastAsia="en-IN"/>
              </w:rPr>
              <w:t>8.5</w:t>
            </w:r>
          </w:p>
        </w:tc>
        <w:tc>
          <w:tcPr>
            <w:tcW w:w="463" w:type="pct"/>
            <w:tcBorders>
              <w:top w:val="nil"/>
              <w:left w:val="nil"/>
              <w:bottom w:val="single" w:sz="4" w:space="0" w:color="auto"/>
              <w:right w:val="single" w:sz="4" w:space="0" w:color="auto"/>
            </w:tcBorders>
            <w:shd w:val="clear" w:color="auto" w:fill="auto"/>
            <w:noWrap/>
            <w:vAlign w:val="center"/>
            <w:hideMark/>
          </w:tcPr>
          <w:p w:rsidR="00B0771A" w:rsidRDefault="00B0771A" w:rsidP="00735CAB">
            <w:pPr>
              <w:spacing w:line="240" w:lineRule="auto"/>
              <w:jc w:val="right"/>
              <w:rPr>
                <w:sz w:val="22"/>
                <w:szCs w:val="22"/>
                <w:lang w:val="en-IN"/>
              </w:rPr>
            </w:pPr>
            <w:r>
              <w:rPr>
                <w:sz w:val="22"/>
                <w:szCs w:val="22"/>
              </w:rPr>
              <w:t>0.55%</w:t>
            </w:r>
          </w:p>
        </w:tc>
        <w:tc>
          <w:tcPr>
            <w:tcW w:w="462" w:type="pct"/>
            <w:tcBorders>
              <w:top w:val="nil"/>
              <w:left w:val="nil"/>
              <w:bottom w:val="single" w:sz="4" w:space="0" w:color="auto"/>
              <w:right w:val="single" w:sz="4" w:space="0" w:color="auto"/>
            </w:tcBorders>
            <w:shd w:val="clear" w:color="auto" w:fill="auto"/>
            <w:noWrap/>
            <w:vAlign w:val="center"/>
            <w:hideMark/>
          </w:tcPr>
          <w:p w:rsidR="00B0771A" w:rsidRDefault="00B0771A" w:rsidP="00735CAB">
            <w:pPr>
              <w:jc w:val="right"/>
              <w:rPr>
                <w:sz w:val="22"/>
                <w:szCs w:val="22"/>
              </w:rPr>
            </w:pPr>
            <w:r>
              <w:rPr>
                <w:sz w:val="22"/>
                <w:szCs w:val="22"/>
              </w:rPr>
              <w:t>0.83%</w:t>
            </w:r>
          </w:p>
        </w:tc>
        <w:tc>
          <w:tcPr>
            <w:tcW w:w="460" w:type="pct"/>
            <w:tcBorders>
              <w:top w:val="nil"/>
              <w:left w:val="nil"/>
              <w:bottom w:val="single" w:sz="4" w:space="0" w:color="auto"/>
              <w:right w:val="single" w:sz="4" w:space="0" w:color="auto"/>
            </w:tcBorders>
            <w:shd w:val="clear" w:color="auto" w:fill="auto"/>
            <w:noWrap/>
            <w:vAlign w:val="center"/>
            <w:hideMark/>
          </w:tcPr>
          <w:p w:rsidR="00B0771A" w:rsidRDefault="00B0771A" w:rsidP="00735CAB">
            <w:pPr>
              <w:jc w:val="right"/>
              <w:rPr>
                <w:sz w:val="22"/>
                <w:szCs w:val="22"/>
              </w:rPr>
            </w:pPr>
            <w:r>
              <w:rPr>
                <w:sz w:val="22"/>
                <w:szCs w:val="22"/>
              </w:rPr>
              <w:t>0.30%</w:t>
            </w:r>
          </w:p>
        </w:tc>
        <w:tc>
          <w:tcPr>
            <w:tcW w:w="432" w:type="pct"/>
            <w:tcBorders>
              <w:top w:val="nil"/>
              <w:left w:val="nil"/>
              <w:bottom w:val="single" w:sz="4" w:space="0" w:color="auto"/>
              <w:right w:val="single" w:sz="4" w:space="0" w:color="auto"/>
            </w:tcBorders>
            <w:shd w:val="clear" w:color="auto" w:fill="auto"/>
            <w:noWrap/>
            <w:vAlign w:val="center"/>
            <w:hideMark/>
          </w:tcPr>
          <w:p w:rsidR="00B0771A" w:rsidRDefault="00B0771A" w:rsidP="00735CAB">
            <w:pPr>
              <w:jc w:val="right"/>
              <w:rPr>
                <w:sz w:val="22"/>
                <w:szCs w:val="22"/>
              </w:rPr>
            </w:pPr>
            <w:r>
              <w:rPr>
                <w:sz w:val="22"/>
                <w:szCs w:val="22"/>
              </w:rPr>
              <w:t>2.50%</w:t>
            </w:r>
          </w:p>
        </w:tc>
      </w:tr>
      <w:tr w:rsidR="00B0771A" w:rsidRPr="00E6181D" w:rsidTr="000E7480">
        <w:trPr>
          <w:trHeight w:val="302"/>
        </w:trPr>
        <w:tc>
          <w:tcPr>
            <w:tcW w:w="696" w:type="pct"/>
            <w:tcBorders>
              <w:top w:val="nil"/>
              <w:left w:val="single" w:sz="4" w:space="0" w:color="auto"/>
              <w:bottom w:val="single" w:sz="4" w:space="0" w:color="auto"/>
              <w:right w:val="single" w:sz="4" w:space="0" w:color="auto"/>
            </w:tcBorders>
            <w:shd w:val="clear" w:color="auto" w:fill="auto"/>
            <w:noWrap/>
            <w:vAlign w:val="center"/>
            <w:hideMark/>
          </w:tcPr>
          <w:p w:rsidR="00B0771A" w:rsidRPr="00E811D9" w:rsidRDefault="00B0771A" w:rsidP="00B0771A">
            <w:pPr>
              <w:spacing w:line="240" w:lineRule="auto"/>
              <w:jc w:val="left"/>
              <w:rPr>
                <w:color w:val="000000"/>
                <w:sz w:val="20"/>
                <w:szCs w:val="20"/>
                <w:lang w:val="en-IN" w:eastAsia="en-IN"/>
              </w:rPr>
            </w:pPr>
            <w:r w:rsidRPr="00E811D9">
              <w:rPr>
                <w:color w:val="000000"/>
                <w:sz w:val="20"/>
                <w:szCs w:val="20"/>
                <w:lang w:val="en-IN" w:eastAsia="en-IN"/>
              </w:rPr>
              <w:t xml:space="preserve"> HT-II </w:t>
            </w:r>
          </w:p>
        </w:tc>
        <w:tc>
          <w:tcPr>
            <w:tcW w:w="514" w:type="pct"/>
            <w:tcBorders>
              <w:top w:val="nil"/>
              <w:left w:val="nil"/>
              <w:bottom w:val="single" w:sz="4" w:space="0" w:color="auto"/>
              <w:right w:val="single" w:sz="4" w:space="0" w:color="auto"/>
            </w:tcBorders>
            <w:shd w:val="clear" w:color="auto" w:fill="auto"/>
            <w:noWrap/>
            <w:vAlign w:val="center"/>
            <w:hideMark/>
          </w:tcPr>
          <w:p w:rsidR="00B0771A" w:rsidRPr="00E6181D" w:rsidRDefault="00B0771A" w:rsidP="00735CAB">
            <w:pPr>
              <w:spacing w:line="240" w:lineRule="auto"/>
              <w:jc w:val="right"/>
              <w:rPr>
                <w:color w:val="000000"/>
                <w:sz w:val="22"/>
                <w:szCs w:val="22"/>
                <w:lang w:val="en-IN" w:eastAsia="en-IN"/>
              </w:rPr>
            </w:pPr>
            <w:r w:rsidRPr="00E6181D">
              <w:rPr>
                <w:color w:val="000000"/>
                <w:sz w:val="22"/>
                <w:szCs w:val="22"/>
                <w:lang w:val="en-IN" w:eastAsia="en-IN"/>
              </w:rPr>
              <w:t>48.77</w:t>
            </w:r>
          </w:p>
        </w:tc>
        <w:tc>
          <w:tcPr>
            <w:tcW w:w="515" w:type="pct"/>
            <w:tcBorders>
              <w:top w:val="nil"/>
              <w:left w:val="nil"/>
              <w:bottom w:val="single" w:sz="4" w:space="0" w:color="auto"/>
              <w:right w:val="single" w:sz="4" w:space="0" w:color="auto"/>
            </w:tcBorders>
            <w:shd w:val="clear" w:color="auto" w:fill="auto"/>
            <w:noWrap/>
            <w:vAlign w:val="center"/>
            <w:hideMark/>
          </w:tcPr>
          <w:p w:rsidR="00B0771A" w:rsidRPr="00E6181D" w:rsidRDefault="00B0771A" w:rsidP="00735CAB">
            <w:pPr>
              <w:spacing w:line="240" w:lineRule="auto"/>
              <w:jc w:val="right"/>
              <w:rPr>
                <w:color w:val="000000"/>
                <w:sz w:val="22"/>
                <w:szCs w:val="22"/>
                <w:lang w:val="en-IN" w:eastAsia="en-IN"/>
              </w:rPr>
            </w:pPr>
            <w:r w:rsidRPr="00E6181D">
              <w:rPr>
                <w:color w:val="000000"/>
                <w:sz w:val="22"/>
                <w:szCs w:val="22"/>
                <w:lang w:val="en-IN" w:eastAsia="en-IN"/>
              </w:rPr>
              <w:t>55.96</w:t>
            </w:r>
          </w:p>
        </w:tc>
        <w:tc>
          <w:tcPr>
            <w:tcW w:w="502" w:type="pct"/>
            <w:tcBorders>
              <w:top w:val="nil"/>
              <w:left w:val="nil"/>
              <w:bottom w:val="single" w:sz="4" w:space="0" w:color="auto"/>
              <w:right w:val="single" w:sz="4" w:space="0" w:color="auto"/>
            </w:tcBorders>
            <w:shd w:val="clear" w:color="auto" w:fill="auto"/>
            <w:noWrap/>
            <w:vAlign w:val="center"/>
            <w:hideMark/>
          </w:tcPr>
          <w:p w:rsidR="00B0771A" w:rsidRPr="00E6181D" w:rsidRDefault="00B0771A" w:rsidP="00735CAB">
            <w:pPr>
              <w:spacing w:line="240" w:lineRule="auto"/>
              <w:jc w:val="right"/>
              <w:rPr>
                <w:color w:val="000000"/>
                <w:sz w:val="22"/>
                <w:szCs w:val="22"/>
                <w:lang w:val="en-IN" w:eastAsia="en-IN"/>
              </w:rPr>
            </w:pPr>
            <w:r w:rsidRPr="00E6181D">
              <w:rPr>
                <w:color w:val="000000"/>
                <w:sz w:val="22"/>
                <w:szCs w:val="22"/>
                <w:lang w:val="en-IN" w:eastAsia="en-IN"/>
              </w:rPr>
              <w:t>60.00</w:t>
            </w:r>
          </w:p>
        </w:tc>
        <w:tc>
          <w:tcPr>
            <w:tcW w:w="463" w:type="pct"/>
            <w:tcBorders>
              <w:top w:val="nil"/>
              <w:left w:val="nil"/>
              <w:bottom w:val="single" w:sz="4" w:space="0" w:color="auto"/>
              <w:right w:val="single" w:sz="4" w:space="0" w:color="auto"/>
            </w:tcBorders>
            <w:shd w:val="clear" w:color="auto" w:fill="auto"/>
            <w:noWrap/>
            <w:vAlign w:val="center"/>
            <w:hideMark/>
          </w:tcPr>
          <w:p w:rsidR="00B0771A" w:rsidRPr="00E6181D" w:rsidRDefault="00B0771A" w:rsidP="00735CAB">
            <w:pPr>
              <w:spacing w:line="240" w:lineRule="auto"/>
              <w:jc w:val="right"/>
              <w:rPr>
                <w:color w:val="000000"/>
                <w:sz w:val="22"/>
                <w:szCs w:val="22"/>
                <w:lang w:val="en-IN" w:eastAsia="en-IN"/>
              </w:rPr>
            </w:pPr>
            <w:r w:rsidRPr="00E6181D">
              <w:rPr>
                <w:color w:val="000000"/>
                <w:sz w:val="22"/>
                <w:szCs w:val="22"/>
                <w:lang w:val="en-IN" w:eastAsia="en-IN"/>
              </w:rPr>
              <w:t>62.03</w:t>
            </w:r>
          </w:p>
        </w:tc>
        <w:tc>
          <w:tcPr>
            <w:tcW w:w="493" w:type="pct"/>
            <w:tcBorders>
              <w:top w:val="nil"/>
              <w:left w:val="nil"/>
              <w:bottom w:val="single" w:sz="4" w:space="0" w:color="auto"/>
              <w:right w:val="single" w:sz="4" w:space="0" w:color="auto"/>
            </w:tcBorders>
            <w:shd w:val="clear" w:color="auto" w:fill="auto"/>
            <w:noWrap/>
            <w:vAlign w:val="center"/>
            <w:hideMark/>
          </w:tcPr>
          <w:p w:rsidR="00B0771A" w:rsidRPr="00D63262" w:rsidRDefault="00B0771A" w:rsidP="00735CAB">
            <w:pPr>
              <w:spacing w:line="240" w:lineRule="auto"/>
              <w:jc w:val="right"/>
              <w:rPr>
                <w:color w:val="000000"/>
                <w:sz w:val="22"/>
                <w:szCs w:val="22"/>
                <w:lang w:val="en-IN" w:eastAsia="en-IN"/>
              </w:rPr>
            </w:pPr>
            <w:r w:rsidRPr="00D63262">
              <w:rPr>
                <w:color w:val="000000"/>
                <w:sz w:val="22"/>
                <w:szCs w:val="22"/>
                <w:lang w:val="en-IN" w:eastAsia="en-IN"/>
              </w:rPr>
              <w:t>897.3</w:t>
            </w:r>
          </w:p>
        </w:tc>
        <w:tc>
          <w:tcPr>
            <w:tcW w:w="463" w:type="pct"/>
            <w:tcBorders>
              <w:top w:val="nil"/>
              <w:left w:val="nil"/>
              <w:bottom w:val="single" w:sz="4" w:space="0" w:color="auto"/>
              <w:right w:val="single" w:sz="4" w:space="0" w:color="auto"/>
            </w:tcBorders>
            <w:shd w:val="clear" w:color="auto" w:fill="auto"/>
            <w:noWrap/>
            <w:vAlign w:val="center"/>
            <w:hideMark/>
          </w:tcPr>
          <w:p w:rsidR="00B0771A" w:rsidRDefault="00B0771A" w:rsidP="00735CAB">
            <w:pPr>
              <w:jc w:val="right"/>
              <w:rPr>
                <w:sz w:val="22"/>
                <w:szCs w:val="22"/>
              </w:rPr>
            </w:pPr>
            <w:r>
              <w:rPr>
                <w:sz w:val="22"/>
                <w:szCs w:val="22"/>
              </w:rPr>
              <w:t>19.19%</w:t>
            </w:r>
          </w:p>
        </w:tc>
        <w:tc>
          <w:tcPr>
            <w:tcW w:w="462" w:type="pct"/>
            <w:tcBorders>
              <w:top w:val="nil"/>
              <w:left w:val="nil"/>
              <w:bottom w:val="single" w:sz="4" w:space="0" w:color="auto"/>
              <w:right w:val="single" w:sz="4" w:space="0" w:color="auto"/>
            </w:tcBorders>
            <w:shd w:val="clear" w:color="auto" w:fill="auto"/>
            <w:noWrap/>
            <w:vAlign w:val="center"/>
            <w:hideMark/>
          </w:tcPr>
          <w:p w:rsidR="00B0771A" w:rsidRDefault="00B0771A" w:rsidP="00735CAB">
            <w:pPr>
              <w:jc w:val="right"/>
              <w:rPr>
                <w:sz w:val="22"/>
                <w:szCs w:val="22"/>
              </w:rPr>
            </w:pPr>
            <w:r>
              <w:rPr>
                <w:sz w:val="22"/>
                <w:szCs w:val="22"/>
              </w:rPr>
              <w:t>20.70%</w:t>
            </w:r>
          </w:p>
        </w:tc>
        <w:tc>
          <w:tcPr>
            <w:tcW w:w="460" w:type="pct"/>
            <w:tcBorders>
              <w:top w:val="nil"/>
              <w:left w:val="nil"/>
              <w:bottom w:val="single" w:sz="4" w:space="0" w:color="auto"/>
              <w:right w:val="single" w:sz="4" w:space="0" w:color="auto"/>
            </w:tcBorders>
            <w:shd w:val="clear" w:color="auto" w:fill="auto"/>
            <w:noWrap/>
            <w:vAlign w:val="center"/>
            <w:hideMark/>
          </w:tcPr>
          <w:p w:rsidR="00B0771A" w:rsidRDefault="00B0771A" w:rsidP="00735CAB">
            <w:pPr>
              <w:jc w:val="right"/>
              <w:rPr>
                <w:sz w:val="22"/>
                <w:szCs w:val="22"/>
              </w:rPr>
            </w:pPr>
            <w:r>
              <w:rPr>
                <w:sz w:val="22"/>
                <w:szCs w:val="22"/>
              </w:rPr>
              <w:t>28.07%</w:t>
            </w:r>
          </w:p>
        </w:tc>
        <w:tc>
          <w:tcPr>
            <w:tcW w:w="432" w:type="pct"/>
            <w:tcBorders>
              <w:top w:val="nil"/>
              <w:left w:val="nil"/>
              <w:bottom w:val="single" w:sz="4" w:space="0" w:color="auto"/>
              <w:right w:val="single" w:sz="4" w:space="0" w:color="auto"/>
            </w:tcBorders>
            <w:shd w:val="clear" w:color="auto" w:fill="auto"/>
            <w:noWrap/>
            <w:vAlign w:val="center"/>
            <w:hideMark/>
          </w:tcPr>
          <w:p w:rsidR="00B0771A" w:rsidRDefault="00B0771A" w:rsidP="00735CAB">
            <w:pPr>
              <w:jc w:val="right"/>
              <w:rPr>
                <w:sz w:val="22"/>
                <w:szCs w:val="22"/>
              </w:rPr>
            </w:pPr>
            <w:r>
              <w:rPr>
                <w:sz w:val="22"/>
                <w:szCs w:val="22"/>
              </w:rPr>
              <w:t>19.19%</w:t>
            </w:r>
          </w:p>
        </w:tc>
      </w:tr>
      <w:tr w:rsidR="00B0771A" w:rsidRPr="00E6181D" w:rsidTr="000E7480">
        <w:trPr>
          <w:trHeight w:val="302"/>
        </w:trPr>
        <w:tc>
          <w:tcPr>
            <w:tcW w:w="696" w:type="pct"/>
            <w:tcBorders>
              <w:top w:val="nil"/>
              <w:left w:val="single" w:sz="4" w:space="0" w:color="auto"/>
              <w:bottom w:val="single" w:sz="4" w:space="0" w:color="auto"/>
              <w:right w:val="single" w:sz="4" w:space="0" w:color="auto"/>
            </w:tcBorders>
            <w:shd w:val="clear" w:color="auto" w:fill="auto"/>
            <w:noWrap/>
            <w:vAlign w:val="center"/>
            <w:hideMark/>
          </w:tcPr>
          <w:p w:rsidR="00B0771A" w:rsidRPr="00E811D9" w:rsidRDefault="00B0771A" w:rsidP="00B0771A">
            <w:pPr>
              <w:spacing w:line="240" w:lineRule="auto"/>
              <w:jc w:val="left"/>
              <w:rPr>
                <w:color w:val="000000"/>
                <w:sz w:val="20"/>
                <w:szCs w:val="20"/>
                <w:lang w:val="en-IN" w:eastAsia="en-IN"/>
              </w:rPr>
            </w:pPr>
            <w:r w:rsidRPr="00E811D9">
              <w:rPr>
                <w:color w:val="000000"/>
                <w:sz w:val="20"/>
                <w:szCs w:val="20"/>
                <w:lang w:val="en-IN" w:eastAsia="en-IN"/>
              </w:rPr>
              <w:t xml:space="preserve"> HT-III </w:t>
            </w:r>
          </w:p>
        </w:tc>
        <w:tc>
          <w:tcPr>
            <w:tcW w:w="514" w:type="pct"/>
            <w:tcBorders>
              <w:top w:val="nil"/>
              <w:left w:val="nil"/>
              <w:bottom w:val="single" w:sz="4" w:space="0" w:color="auto"/>
              <w:right w:val="single" w:sz="4" w:space="0" w:color="auto"/>
            </w:tcBorders>
            <w:shd w:val="clear" w:color="auto" w:fill="auto"/>
            <w:noWrap/>
            <w:vAlign w:val="center"/>
            <w:hideMark/>
          </w:tcPr>
          <w:p w:rsidR="00B0771A" w:rsidRPr="00E6181D" w:rsidRDefault="00B0771A" w:rsidP="00735CAB">
            <w:pPr>
              <w:spacing w:line="240" w:lineRule="auto"/>
              <w:jc w:val="right"/>
              <w:rPr>
                <w:color w:val="000000"/>
                <w:sz w:val="22"/>
                <w:szCs w:val="22"/>
                <w:lang w:val="en-IN" w:eastAsia="en-IN"/>
              </w:rPr>
            </w:pPr>
            <w:r w:rsidRPr="00E6181D">
              <w:rPr>
                <w:color w:val="000000"/>
                <w:sz w:val="22"/>
                <w:szCs w:val="22"/>
                <w:lang w:val="en-IN" w:eastAsia="en-IN"/>
              </w:rPr>
              <w:t>326.65</w:t>
            </w:r>
          </w:p>
        </w:tc>
        <w:tc>
          <w:tcPr>
            <w:tcW w:w="515" w:type="pct"/>
            <w:tcBorders>
              <w:top w:val="nil"/>
              <w:left w:val="nil"/>
              <w:bottom w:val="single" w:sz="4" w:space="0" w:color="auto"/>
              <w:right w:val="single" w:sz="4" w:space="0" w:color="auto"/>
            </w:tcBorders>
            <w:shd w:val="clear" w:color="auto" w:fill="auto"/>
            <w:noWrap/>
            <w:vAlign w:val="center"/>
            <w:hideMark/>
          </w:tcPr>
          <w:p w:rsidR="00B0771A" w:rsidRPr="00E6181D" w:rsidRDefault="00B0771A" w:rsidP="00735CAB">
            <w:pPr>
              <w:spacing w:line="240" w:lineRule="auto"/>
              <w:jc w:val="right"/>
              <w:rPr>
                <w:color w:val="000000"/>
                <w:sz w:val="22"/>
                <w:szCs w:val="22"/>
                <w:lang w:val="en-IN" w:eastAsia="en-IN"/>
              </w:rPr>
            </w:pPr>
            <w:r w:rsidRPr="00E6181D">
              <w:rPr>
                <w:color w:val="000000"/>
                <w:sz w:val="22"/>
                <w:szCs w:val="22"/>
                <w:lang w:val="en-IN" w:eastAsia="en-IN"/>
              </w:rPr>
              <w:t>319.60</w:t>
            </w:r>
          </w:p>
        </w:tc>
        <w:tc>
          <w:tcPr>
            <w:tcW w:w="502" w:type="pct"/>
            <w:tcBorders>
              <w:top w:val="nil"/>
              <w:left w:val="nil"/>
              <w:bottom w:val="single" w:sz="4" w:space="0" w:color="auto"/>
              <w:right w:val="single" w:sz="4" w:space="0" w:color="auto"/>
            </w:tcBorders>
            <w:shd w:val="clear" w:color="auto" w:fill="auto"/>
            <w:noWrap/>
            <w:vAlign w:val="center"/>
            <w:hideMark/>
          </w:tcPr>
          <w:p w:rsidR="00B0771A" w:rsidRPr="00E6181D" w:rsidRDefault="00B0771A" w:rsidP="00735CAB">
            <w:pPr>
              <w:spacing w:line="240" w:lineRule="auto"/>
              <w:jc w:val="right"/>
              <w:rPr>
                <w:color w:val="000000"/>
                <w:sz w:val="22"/>
                <w:szCs w:val="22"/>
                <w:lang w:val="en-IN" w:eastAsia="en-IN"/>
              </w:rPr>
            </w:pPr>
            <w:r w:rsidRPr="00E6181D">
              <w:rPr>
                <w:color w:val="000000"/>
                <w:sz w:val="22"/>
                <w:szCs w:val="22"/>
                <w:lang w:val="en-IN" w:eastAsia="en-IN"/>
              </w:rPr>
              <w:t>268.00</w:t>
            </w:r>
          </w:p>
        </w:tc>
        <w:tc>
          <w:tcPr>
            <w:tcW w:w="463" w:type="pct"/>
            <w:tcBorders>
              <w:top w:val="nil"/>
              <w:left w:val="nil"/>
              <w:bottom w:val="single" w:sz="4" w:space="0" w:color="auto"/>
              <w:right w:val="single" w:sz="4" w:space="0" w:color="auto"/>
            </w:tcBorders>
            <w:shd w:val="clear" w:color="auto" w:fill="auto"/>
            <w:noWrap/>
            <w:vAlign w:val="center"/>
            <w:hideMark/>
          </w:tcPr>
          <w:p w:rsidR="00B0771A" w:rsidRPr="00E6181D" w:rsidRDefault="00B0771A" w:rsidP="00735CAB">
            <w:pPr>
              <w:spacing w:line="240" w:lineRule="auto"/>
              <w:jc w:val="right"/>
              <w:rPr>
                <w:color w:val="000000"/>
                <w:sz w:val="22"/>
                <w:szCs w:val="22"/>
                <w:lang w:val="en-IN" w:eastAsia="en-IN"/>
              </w:rPr>
            </w:pPr>
            <w:r w:rsidRPr="00E6181D">
              <w:rPr>
                <w:color w:val="000000"/>
                <w:sz w:val="22"/>
                <w:szCs w:val="22"/>
                <w:lang w:val="en-IN" w:eastAsia="en-IN"/>
              </w:rPr>
              <w:t>258.96</w:t>
            </w:r>
          </w:p>
        </w:tc>
        <w:tc>
          <w:tcPr>
            <w:tcW w:w="493" w:type="pct"/>
            <w:tcBorders>
              <w:top w:val="nil"/>
              <w:left w:val="nil"/>
              <w:bottom w:val="single" w:sz="4" w:space="0" w:color="auto"/>
              <w:right w:val="single" w:sz="4" w:space="0" w:color="auto"/>
            </w:tcBorders>
            <w:shd w:val="clear" w:color="auto" w:fill="auto"/>
            <w:noWrap/>
            <w:vAlign w:val="center"/>
            <w:hideMark/>
          </w:tcPr>
          <w:p w:rsidR="00B0771A" w:rsidRPr="00D63262" w:rsidRDefault="00B0771A" w:rsidP="00735CAB">
            <w:pPr>
              <w:spacing w:line="240" w:lineRule="auto"/>
              <w:jc w:val="right"/>
              <w:rPr>
                <w:color w:val="000000"/>
                <w:sz w:val="22"/>
                <w:szCs w:val="22"/>
                <w:lang w:val="en-IN" w:eastAsia="en-IN"/>
              </w:rPr>
            </w:pPr>
            <w:r w:rsidRPr="00D63262">
              <w:rPr>
                <w:color w:val="000000"/>
                <w:sz w:val="22"/>
                <w:szCs w:val="22"/>
                <w:lang w:val="en-IN" w:eastAsia="en-IN"/>
              </w:rPr>
              <w:t>98.4</w:t>
            </w:r>
          </w:p>
        </w:tc>
        <w:tc>
          <w:tcPr>
            <w:tcW w:w="463" w:type="pct"/>
            <w:tcBorders>
              <w:top w:val="nil"/>
              <w:left w:val="nil"/>
              <w:bottom w:val="single" w:sz="4" w:space="0" w:color="auto"/>
              <w:right w:val="single" w:sz="4" w:space="0" w:color="auto"/>
            </w:tcBorders>
            <w:shd w:val="clear" w:color="auto" w:fill="auto"/>
            <w:noWrap/>
            <w:vAlign w:val="center"/>
            <w:hideMark/>
          </w:tcPr>
          <w:p w:rsidR="00B0771A" w:rsidRDefault="00B0771A" w:rsidP="00735CAB">
            <w:pPr>
              <w:jc w:val="right"/>
              <w:rPr>
                <w:sz w:val="22"/>
                <w:szCs w:val="22"/>
              </w:rPr>
            </w:pPr>
            <w:r>
              <w:rPr>
                <w:sz w:val="22"/>
                <w:szCs w:val="22"/>
              </w:rPr>
              <w:t>0.02%</w:t>
            </w:r>
          </w:p>
        </w:tc>
        <w:tc>
          <w:tcPr>
            <w:tcW w:w="462" w:type="pct"/>
            <w:tcBorders>
              <w:top w:val="nil"/>
              <w:left w:val="nil"/>
              <w:bottom w:val="single" w:sz="4" w:space="0" w:color="auto"/>
              <w:right w:val="single" w:sz="4" w:space="0" w:color="auto"/>
            </w:tcBorders>
            <w:shd w:val="clear" w:color="auto" w:fill="auto"/>
            <w:noWrap/>
            <w:vAlign w:val="center"/>
            <w:hideMark/>
          </w:tcPr>
          <w:p w:rsidR="00B0771A" w:rsidRDefault="00B0771A" w:rsidP="00735CAB">
            <w:pPr>
              <w:jc w:val="right"/>
              <w:rPr>
                <w:sz w:val="22"/>
                <w:szCs w:val="22"/>
              </w:rPr>
            </w:pPr>
            <w:r>
              <w:rPr>
                <w:sz w:val="22"/>
                <w:szCs w:val="22"/>
              </w:rPr>
              <w:t>0.76%</w:t>
            </w:r>
          </w:p>
        </w:tc>
        <w:tc>
          <w:tcPr>
            <w:tcW w:w="460" w:type="pct"/>
            <w:tcBorders>
              <w:top w:val="nil"/>
              <w:left w:val="nil"/>
              <w:bottom w:val="single" w:sz="4" w:space="0" w:color="auto"/>
              <w:right w:val="single" w:sz="4" w:space="0" w:color="auto"/>
            </w:tcBorders>
            <w:shd w:val="clear" w:color="auto" w:fill="auto"/>
            <w:noWrap/>
            <w:vAlign w:val="center"/>
            <w:hideMark/>
          </w:tcPr>
          <w:p w:rsidR="00B0771A" w:rsidRDefault="00B0771A" w:rsidP="00735CAB">
            <w:pPr>
              <w:jc w:val="right"/>
              <w:rPr>
                <w:sz w:val="22"/>
                <w:szCs w:val="22"/>
              </w:rPr>
            </w:pPr>
            <w:r>
              <w:rPr>
                <w:sz w:val="22"/>
                <w:szCs w:val="22"/>
              </w:rPr>
              <w:t>10.44%</w:t>
            </w:r>
          </w:p>
        </w:tc>
        <w:tc>
          <w:tcPr>
            <w:tcW w:w="432" w:type="pct"/>
            <w:tcBorders>
              <w:top w:val="nil"/>
              <w:left w:val="nil"/>
              <w:bottom w:val="single" w:sz="4" w:space="0" w:color="auto"/>
              <w:right w:val="single" w:sz="4" w:space="0" w:color="auto"/>
            </w:tcBorders>
            <w:shd w:val="clear" w:color="auto" w:fill="auto"/>
            <w:noWrap/>
            <w:vAlign w:val="center"/>
            <w:hideMark/>
          </w:tcPr>
          <w:p w:rsidR="00B0771A" w:rsidRDefault="00B0771A" w:rsidP="00735CAB">
            <w:pPr>
              <w:jc w:val="right"/>
              <w:rPr>
                <w:sz w:val="22"/>
                <w:szCs w:val="22"/>
              </w:rPr>
            </w:pPr>
            <w:r>
              <w:rPr>
                <w:sz w:val="22"/>
                <w:szCs w:val="22"/>
              </w:rPr>
              <w:t>2.50%</w:t>
            </w:r>
          </w:p>
        </w:tc>
      </w:tr>
      <w:tr w:rsidR="00D63262" w:rsidRPr="00E6181D" w:rsidTr="000E7480">
        <w:trPr>
          <w:trHeight w:val="317"/>
        </w:trPr>
        <w:tc>
          <w:tcPr>
            <w:tcW w:w="696" w:type="pct"/>
            <w:tcBorders>
              <w:top w:val="nil"/>
              <w:left w:val="single" w:sz="4" w:space="0" w:color="auto"/>
              <w:bottom w:val="single" w:sz="4" w:space="0" w:color="auto"/>
              <w:right w:val="single" w:sz="4" w:space="0" w:color="auto"/>
            </w:tcBorders>
            <w:shd w:val="clear" w:color="auto" w:fill="auto"/>
            <w:noWrap/>
            <w:vAlign w:val="center"/>
            <w:hideMark/>
          </w:tcPr>
          <w:p w:rsidR="00D63262" w:rsidRPr="00E6181D" w:rsidRDefault="00D63262" w:rsidP="00D63262">
            <w:pPr>
              <w:spacing w:line="240" w:lineRule="auto"/>
              <w:jc w:val="left"/>
              <w:rPr>
                <w:b/>
                <w:bCs/>
                <w:sz w:val="22"/>
                <w:szCs w:val="22"/>
                <w:lang w:val="en-IN" w:eastAsia="en-IN"/>
              </w:rPr>
            </w:pPr>
            <w:r w:rsidRPr="00E6181D">
              <w:rPr>
                <w:b/>
                <w:bCs/>
                <w:sz w:val="22"/>
                <w:szCs w:val="22"/>
                <w:lang w:val="en-IN" w:eastAsia="en-IN"/>
              </w:rPr>
              <w:t xml:space="preserve"> Total </w:t>
            </w:r>
          </w:p>
        </w:tc>
        <w:tc>
          <w:tcPr>
            <w:tcW w:w="514" w:type="pct"/>
            <w:tcBorders>
              <w:top w:val="nil"/>
              <w:left w:val="nil"/>
              <w:bottom w:val="single" w:sz="4" w:space="0" w:color="auto"/>
              <w:right w:val="single" w:sz="4" w:space="0" w:color="auto"/>
            </w:tcBorders>
            <w:shd w:val="clear" w:color="auto" w:fill="auto"/>
            <w:noWrap/>
            <w:vAlign w:val="center"/>
            <w:hideMark/>
          </w:tcPr>
          <w:p w:rsidR="00D63262" w:rsidRPr="00E6181D" w:rsidRDefault="00D63262" w:rsidP="00735CAB">
            <w:pPr>
              <w:spacing w:line="240" w:lineRule="auto"/>
              <w:jc w:val="right"/>
              <w:rPr>
                <w:b/>
                <w:bCs/>
                <w:sz w:val="22"/>
                <w:szCs w:val="22"/>
                <w:lang w:val="en-IN" w:eastAsia="en-IN"/>
              </w:rPr>
            </w:pPr>
            <w:r w:rsidRPr="00E6181D">
              <w:rPr>
                <w:b/>
                <w:bCs/>
                <w:sz w:val="22"/>
                <w:szCs w:val="22"/>
                <w:lang w:val="en-IN" w:eastAsia="en-IN"/>
              </w:rPr>
              <w:t>2365.72</w:t>
            </w:r>
          </w:p>
        </w:tc>
        <w:tc>
          <w:tcPr>
            <w:tcW w:w="515" w:type="pct"/>
            <w:tcBorders>
              <w:top w:val="nil"/>
              <w:left w:val="nil"/>
              <w:bottom w:val="single" w:sz="4" w:space="0" w:color="auto"/>
              <w:right w:val="single" w:sz="4" w:space="0" w:color="auto"/>
            </w:tcBorders>
            <w:shd w:val="clear" w:color="auto" w:fill="auto"/>
            <w:noWrap/>
            <w:vAlign w:val="center"/>
            <w:hideMark/>
          </w:tcPr>
          <w:p w:rsidR="00D63262" w:rsidRPr="00E6181D" w:rsidRDefault="00D63262" w:rsidP="00735CAB">
            <w:pPr>
              <w:spacing w:line="240" w:lineRule="auto"/>
              <w:jc w:val="right"/>
              <w:rPr>
                <w:b/>
                <w:bCs/>
                <w:sz w:val="22"/>
                <w:szCs w:val="22"/>
                <w:lang w:val="en-IN" w:eastAsia="en-IN"/>
              </w:rPr>
            </w:pPr>
            <w:r w:rsidRPr="00E6181D">
              <w:rPr>
                <w:b/>
                <w:bCs/>
                <w:sz w:val="22"/>
                <w:szCs w:val="22"/>
                <w:lang w:val="en-IN" w:eastAsia="en-IN"/>
              </w:rPr>
              <w:t>2366.31</w:t>
            </w:r>
          </w:p>
        </w:tc>
        <w:tc>
          <w:tcPr>
            <w:tcW w:w="502" w:type="pct"/>
            <w:tcBorders>
              <w:top w:val="nil"/>
              <w:left w:val="nil"/>
              <w:bottom w:val="single" w:sz="4" w:space="0" w:color="auto"/>
              <w:right w:val="single" w:sz="4" w:space="0" w:color="auto"/>
            </w:tcBorders>
            <w:shd w:val="clear" w:color="auto" w:fill="auto"/>
            <w:noWrap/>
            <w:vAlign w:val="center"/>
            <w:hideMark/>
          </w:tcPr>
          <w:p w:rsidR="00D63262" w:rsidRPr="00E6181D" w:rsidRDefault="00D63262" w:rsidP="00735CAB">
            <w:pPr>
              <w:spacing w:line="240" w:lineRule="auto"/>
              <w:jc w:val="right"/>
              <w:rPr>
                <w:b/>
                <w:bCs/>
                <w:sz w:val="22"/>
                <w:szCs w:val="22"/>
                <w:lang w:val="en-IN" w:eastAsia="en-IN"/>
              </w:rPr>
            </w:pPr>
            <w:r w:rsidRPr="00E6181D">
              <w:rPr>
                <w:b/>
                <w:bCs/>
                <w:sz w:val="22"/>
                <w:szCs w:val="22"/>
                <w:lang w:val="en-IN" w:eastAsia="en-IN"/>
              </w:rPr>
              <w:t>2398.00</w:t>
            </w:r>
          </w:p>
        </w:tc>
        <w:tc>
          <w:tcPr>
            <w:tcW w:w="463" w:type="pct"/>
            <w:tcBorders>
              <w:top w:val="nil"/>
              <w:left w:val="nil"/>
              <w:bottom w:val="single" w:sz="4" w:space="0" w:color="auto"/>
              <w:right w:val="single" w:sz="4" w:space="0" w:color="auto"/>
            </w:tcBorders>
            <w:shd w:val="clear" w:color="auto" w:fill="auto"/>
            <w:noWrap/>
            <w:vAlign w:val="center"/>
            <w:hideMark/>
          </w:tcPr>
          <w:p w:rsidR="00D63262" w:rsidRPr="00E6181D" w:rsidRDefault="00D63262" w:rsidP="00735CAB">
            <w:pPr>
              <w:spacing w:line="240" w:lineRule="auto"/>
              <w:jc w:val="right"/>
              <w:rPr>
                <w:b/>
                <w:bCs/>
                <w:sz w:val="22"/>
                <w:szCs w:val="22"/>
                <w:lang w:val="en-IN" w:eastAsia="en-IN"/>
              </w:rPr>
            </w:pPr>
            <w:r w:rsidRPr="00E6181D">
              <w:rPr>
                <w:b/>
                <w:bCs/>
                <w:sz w:val="22"/>
                <w:szCs w:val="22"/>
                <w:lang w:val="en-IN" w:eastAsia="en-IN"/>
              </w:rPr>
              <w:t>2466.27</w:t>
            </w:r>
          </w:p>
        </w:tc>
        <w:tc>
          <w:tcPr>
            <w:tcW w:w="493" w:type="pct"/>
            <w:tcBorders>
              <w:top w:val="nil"/>
              <w:left w:val="nil"/>
              <w:bottom w:val="single" w:sz="4" w:space="0" w:color="auto"/>
              <w:right w:val="single" w:sz="4" w:space="0" w:color="auto"/>
            </w:tcBorders>
            <w:shd w:val="clear" w:color="auto" w:fill="auto"/>
            <w:noWrap/>
            <w:vAlign w:val="center"/>
            <w:hideMark/>
          </w:tcPr>
          <w:p w:rsidR="00D63262" w:rsidRPr="00D63262" w:rsidRDefault="00D63262" w:rsidP="00735CAB">
            <w:pPr>
              <w:spacing w:line="240" w:lineRule="auto"/>
              <w:jc w:val="right"/>
              <w:rPr>
                <w:b/>
                <w:bCs/>
                <w:sz w:val="22"/>
                <w:szCs w:val="22"/>
                <w:lang w:val="en-IN" w:eastAsia="en-IN"/>
              </w:rPr>
            </w:pPr>
            <w:r w:rsidRPr="00D63262">
              <w:rPr>
                <w:b/>
                <w:bCs/>
                <w:sz w:val="22"/>
                <w:szCs w:val="22"/>
                <w:lang w:val="en-IN" w:eastAsia="en-IN"/>
              </w:rPr>
              <w:t>326.9</w:t>
            </w:r>
          </w:p>
        </w:tc>
        <w:tc>
          <w:tcPr>
            <w:tcW w:w="463" w:type="pct"/>
            <w:tcBorders>
              <w:top w:val="nil"/>
              <w:left w:val="nil"/>
              <w:bottom w:val="single" w:sz="4" w:space="0" w:color="auto"/>
              <w:right w:val="single" w:sz="4" w:space="0" w:color="auto"/>
            </w:tcBorders>
            <w:shd w:val="clear" w:color="auto" w:fill="auto"/>
            <w:noWrap/>
            <w:vAlign w:val="center"/>
          </w:tcPr>
          <w:p w:rsidR="00D63262" w:rsidRPr="00D63262" w:rsidRDefault="00D63262" w:rsidP="00735CAB">
            <w:pPr>
              <w:spacing w:line="240" w:lineRule="auto"/>
              <w:jc w:val="right"/>
              <w:rPr>
                <w:b/>
                <w:bCs/>
                <w:sz w:val="22"/>
                <w:szCs w:val="22"/>
                <w:lang w:val="en-IN" w:eastAsia="en-IN"/>
              </w:rPr>
            </w:pPr>
          </w:p>
        </w:tc>
        <w:tc>
          <w:tcPr>
            <w:tcW w:w="462" w:type="pct"/>
            <w:tcBorders>
              <w:top w:val="nil"/>
              <w:left w:val="nil"/>
              <w:bottom w:val="single" w:sz="4" w:space="0" w:color="auto"/>
              <w:right w:val="single" w:sz="4" w:space="0" w:color="auto"/>
            </w:tcBorders>
            <w:shd w:val="clear" w:color="auto" w:fill="auto"/>
            <w:noWrap/>
            <w:vAlign w:val="center"/>
          </w:tcPr>
          <w:p w:rsidR="00D63262" w:rsidRPr="00D63262" w:rsidRDefault="00D63262" w:rsidP="00735CAB">
            <w:pPr>
              <w:spacing w:line="240" w:lineRule="auto"/>
              <w:jc w:val="right"/>
              <w:rPr>
                <w:b/>
                <w:bCs/>
                <w:sz w:val="22"/>
                <w:szCs w:val="22"/>
                <w:lang w:val="en-IN" w:eastAsia="en-IN"/>
              </w:rPr>
            </w:pPr>
          </w:p>
        </w:tc>
        <w:tc>
          <w:tcPr>
            <w:tcW w:w="460" w:type="pct"/>
            <w:tcBorders>
              <w:top w:val="nil"/>
              <w:left w:val="nil"/>
              <w:bottom w:val="single" w:sz="4" w:space="0" w:color="auto"/>
              <w:right w:val="single" w:sz="4" w:space="0" w:color="auto"/>
            </w:tcBorders>
            <w:shd w:val="clear" w:color="auto" w:fill="auto"/>
            <w:noWrap/>
            <w:vAlign w:val="center"/>
          </w:tcPr>
          <w:p w:rsidR="00D63262" w:rsidRPr="00D63262" w:rsidRDefault="00D63262" w:rsidP="00735CAB">
            <w:pPr>
              <w:spacing w:line="240" w:lineRule="auto"/>
              <w:jc w:val="right"/>
              <w:rPr>
                <w:b/>
                <w:bCs/>
                <w:sz w:val="22"/>
                <w:szCs w:val="22"/>
                <w:lang w:val="en-IN" w:eastAsia="en-IN"/>
              </w:rPr>
            </w:pPr>
          </w:p>
        </w:tc>
        <w:tc>
          <w:tcPr>
            <w:tcW w:w="432" w:type="pct"/>
            <w:tcBorders>
              <w:top w:val="nil"/>
              <w:left w:val="nil"/>
              <w:bottom w:val="single" w:sz="4" w:space="0" w:color="auto"/>
              <w:right w:val="single" w:sz="4" w:space="0" w:color="auto"/>
            </w:tcBorders>
            <w:shd w:val="clear" w:color="auto" w:fill="auto"/>
            <w:noWrap/>
            <w:vAlign w:val="center"/>
          </w:tcPr>
          <w:p w:rsidR="00D63262" w:rsidRPr="00D63262" w:rsidRDefault="00D63262" w:rsidP="00735CAB">
            <w:pPr>
              <w:spacing w:line="240" w:lineRule="auto"/>
              <w:jc w:val="right"/>
              <w:rPr>
                <w:b/>
                <w:bCs/>
                <w:sz w:val="22"/>
                <w:szCs w:val="22"/>
                <w:lang w:val="en-IN" w:eastAsia="en-IN"/>
              </w:rPr>
            </w:pPr>
          </w:p>
        </w:tc>
      </w:tr>
    </w:tbl>
    <w:p w:rsidR="009846CC" w:rsidRDefault="009846CC" w:rsidP="009846CC">
      <w:pPr>
        <w:jc w:val="center"/>
      </w:pPr>
    </w:p>
    <w:p w:rsidR="009846CC" w:rsidRDefault="009846CC" w:rsidP="009846CC">
      <w:pPr>
        <w:pStyle w:val="ED-H3"/>
      </w:pPr>
      <w:bookmarkStart w:id="87" w:name="_Toc523560506"/>
      <w:r w:rsidRPr="0036294D">
        <w:rPr>
          <w:u w:val="single"/>
        </w:rPr>
        <w:t>Domestic Consumers</w:t>
      </w:r>
      <w:r w:rsidRPr="006168F8">
        <w:t>:</w:t>
      </w:r>
      <w:bookmarkEnd w:id="87"/>
    </w:p>
    <w:p w:rsidR="009846CC" w:rsidRDefault="009846CC" w:rsidP="009846CC">
      <w:pPr>
        <w:pStyle w:val="ED-H3"/>
        <w:numPr>
          <w:ilvl w:val="0"/>
          <w:numId w:val="0"/>
        </w:numPr>
        <w:ind w:left="720"/>
      </w:pPr>
      <w:r w:rsidRPr="006168F8">
        <w:t>With the advent of technology</w:t>
      </w:r>
      <w:r>
        <w:t xml:space="preserve">, </w:t>
      </w:r>
      <w:r w:rsidRPr="006168F8">
        <w:t>increasing purchasing power</w:t>
      </w:r>
      <w:r>
        <w:t xml:space="preserve"> and influence of the tourists,</w:t>
      </w:r>
      <w:r w:rsidRPr="006168F8">
        <w:t xml:space="preserve"> the lifestyle of the people in Puducherry has </w:t>
      </w:r>
      <w:r>
        <w:t xml:space="preserve">been </w:t>
      </w:r>
      <w:r w:rsidRPr="006168F8">
        <w:t xml:space="preserve">urbanised. The usage of electrical appliances in the households such as television, air conditioners, fans, washing machines, microwave ovens, computers, laptops, geysers/ electric water heaters, mixers, multiple mobile charging units etc have increased and is now </w:t>
      </w:r>
      <w:r w:rsidRPr="006168F8">
        <w:lastRenderedPageBreak/>
        <w:t xml:space="preserve">common in every household. </w:t>
      </w:r>
      <w:r>
        <w:t xml:space="preserve">Further, considering PED`s constant efforts to provide last mile connectivity and 24x7 power supply has increased </w:t>
      </w:r>
      <w:r w:rsidRPr="006168F8">
        <w:t xml:space="preserve">the </w:t>
      </w:r>
      <w:r>
        <w:t xml:space="preserve">no. of consumers in the network and the </w:t>
      </w:r>
      <w:r w:rsidRPr="006168F8">
        <w:t xml:space="preserve">consumption and load of most of the households has </w:t>
      </w:r>
      <w:r>
        <w:t xml:space="preserve">also </w:t>
      </w:r>
      <w:r w:rsidRPr="006168F8">
        <w:t>increased. Multi-storeyed apartments / buildings are being developed with 2- 3 BHK flats which again will have much increased load and consumption. Hence</w:t>
      </w:r>
      <w:r>
        <w:t>, based on the 5-yr CAGR,</w:t>
      </w:r>
      <w:r w:rsidR="00E811D9">
        <w:t>the growth rate of 4.78</w:t>
      </w:r>
      <w:r w:rsidRPr="006168F8">
        <w:t>% in consu</w:t>
      </w:r>
      <w:r>
        <w:t>mption and 4.60% for the</w:t>
      </w:r>
      <w:r w:rsidRPr="006168F8">
        <w:t xml:space="preserve"> number of consumers </w:t>
      </w:r>
      <w:r>
        <w:t xml:space="preserve">is considered for projection for the MYT </w:t>
      </w:r>
      <w:r w:rsidRPr="006168F8">
        <w:t>control period.</w:t>
      </w:r>
    </w:p>
    <w:p w:rsidR="009846CC" w:rsidRPr="006168F8" w:rsidRDefault="009846CC" w:rsidP="009846CC">
      <w:pPr>
        <w:pStyle w:val="EDNormal"/>
        <w:rPr>
          <w:bCs/>
        </w:rPr>
      </w:pPr>
    </w:p>
    <w:p w:rsidR="009846CC" w:rsidRDefault="009846CC" w:rsidP="009846CC">
      <w:pPr>
        <w:pStyle w:val="ED-H3"/>
      </w:pPr>
      <w:bookmarkStart w:id="88" w:name="_Toc523560507"/>
      <w:r w:rsidRPr="0036294D">
        <w:rPr>
          <w:u w:val="single"/>
        </w:rPr>
        <w:t>Hut Services/ OHOB Consumers</w:t>
      </w:r>
      <w:r w:rsidRPr="006168F8">
        <w:t>:</w:t>
      </w:r>
      <w:bookmarkEnd w:id="88"/>
    </w:p>
    <w:p w:rsidR="009846CC" w:rsidRDefault="009846CC" w:rsidP="009846CC">
      <w:pPr>
        <w:pStyle w:val="ED-H3"/>
        <w:numPr>
          <w:ilvl w:val="0"/>
          <w:numId w:val="0"/>
        </w:numPr>
        <w:ind w:left="720"/>
      </w:pPr>
      <w:r w:rsidRPr="006168F8">
        <w:t xml:space="preserve">The number of consumers in the one house one bulb (OHOB) category is not </w:t>
      </w:r>
      <w:r w:rsidRPr="00DA193A">
        <w:t>expected</w:t>
      </w:r>
      <w:r w:rsidRPr="006168F8">
        <w:t xml:space="preserve"> to grow as </w:t>
      </w:r>
      <w:r>
        <w:t>PED</w:t>
      </w:r>
      <w:r w:rsidRPr="006168F8">
        <w:t xml:space="preserve"> plans on giving no new OHOB </w:t>
      </w:r>
      <w:r w:rsidRPr="00835C21">
        <w:t>connections</w:t>
      </w:r>
      <w:r w:rsidRPr="006168F8">
        <w:t>. So the number of consum</w:t>
      </w:r>
      <w:r>
        <w:t>ers are kept the same for the M</w:t>
      </w:r>
      <w:r w:rsidRPr="006168F8">
        <w:t>Y</w:t>
      </w:r>
      <w:r>
        <w:t>T control period which is also in line with the calculation as considered by the Hon’ble Commission in the past tariff orders. However, the consumption has increasing due to increased no. of supply hours, hence the 3 year CAGR of 1.19% has been considered for forecasting the consumption.</w:t>
      </w:r>
    </w:p>
    <w:p w:rsidR="009846CC" w:rsidRPr="006168F8" w:rsidRDefault="009846CC" w:rsidP="009846CC">
      <w:pPr>
        <w:pStyle w:val="EDNormal"/>
        <w:rPr>
          <w:bCs/>
        </w:rPr>
      </w:pPr>
    </w:p>
    <w:p w:rsidR="009846CC" w:rsidRPr="0036294D" w:rsidRDefault="009846CC" w:rsidP="009846CC">
      <w:pPr>
        <w:pStyle w:val="ED-H3"/>
        <w:rPr>
          <w:u w:val="single"/>
        </w:rPr>
      </w:pPr>
      <w:bookmarkStart w:id="89" w:name="_Toc523560508"/>
      <w:r w:rsidRPr="0036294D">
        <w:rPr>
          <w:u w:val="single"/>
        </w:rPr>
        <w:t>Commercial Consumers:</w:t>
      </w:r>
      <w:bookmarkEnd w:id="89"/>
    </w:p>
    <w:p w:rsidR="009846CC" w:rsidRDefault="009846CC" w:rsidP="009846CC">
      <w:pPr>
        <w:pStyle w:val="ED-H3"/>
        <w:numPr>
          <w:ilvl w:val="0"/>
          <w:numId w:val="0"/>
        </w:numPr>
        <w:ind w:left="720"/>
      </w:pPr>
      <w:r w:rsidRPr="006168F8">
        <w:t xml:space="preserve">Puducherry, being a tourist destination, is expected to attract tourists in the coming years </w:t>
      </w:r>
      <w:r>
        <w:t xml:space="preserve">as per the continuing trend </w:t>
      </w:r>
      <w:r w:rsidRPr="006168F8">
        <w:t xml:space="preserve">and to cater to their demand more hotels, restaurants, shops and commercial establishments are expected to come up in near future. Based on the </w:t>
      </w:r>
      <w:r>
        <w:t xml:space="preserve">calculated CAGR, </w:t>
      </w:r>
      <w:r w:rsidRPr="006168F8">
        <w:t xml:space="preserve">a </w:t>
      </w:r>
      <w:r>
        <w:t>growth rate of 4.47</w:t>
      </w:r>
      <w:r w:rsidRPr="006168F8">
        <w:t>%</w:t>
      </w:r>
      <w:r>
        <w:t xml:space="preserve"> (5-yr CAGR) for </w:t>
      </w:r>
      <w:r w:rsidR="00E811D9">
        <w:t>the number of consumers and 4.57</w:t>
      </w:r>
      <w:r w:rsidRPr="006168F8">
        <w:t>%</w:t>
      </w:r>
      <w:r>
        <w:t xml:space="preserve"> (5-yr CAGR)for consumption has been considered for projection for the MYT control period</w:t>
      </w:r>
      <w:r w:rsidRPr="006168F8">
        <w:t>.</w:t>
      </w:r>
    </w:p>
    <w:p w:rsidR="009846CC" w:rsidRPr="006168F8" w:rsidRDefault="009846CC" w:rsidP="009846CC">
      <w:pPr>
        <w:pStyle w:val="EDNormal"/>
        <w:rPr>
          <w:bCs/>
        </w:rPr>
      </w:pPr>
    </w:p>
    <w:p w:rsidR="009846CC" w:rsidRDefault="009846CC" w:rsidP="009846CC">
      <w:pPr>
        <w:pStyle w:val="ED-H3"/>
      </w:pPr>
      <w:bookmarkStart w:id="90" w:name="_Toc523560509"/>
      <w:r w:rsidRPr="0036294D">
        <w:rPr>
          <w:u w:val="single"/>
        </w:rPr>
        <w:t>Agriculture Consumers</w:t>
      </w:r>
      <w:r w:rsidRPr="006168F8">
        <w:t>:</w:t>
      </w:r>
      <w:bookmarkEnd w:id="90"/>
    </w:p>
    <w:p w:rsidR="009846CC" w:rsidRDefault="009846CC" w:rsidP="009846CC">
      <w:pPr>
        <w:pStyle w:val="ED-H3"/>
        <w:numPr>
          <w:ilvl w:val="0"/>
          <w:numId w:val="0"/>
        </w:numPr>
        <w:ind w:left="720"/>
      </w:pPr>
      <w:r w:rsidRPr="006168F8">
        <w:t xml:space="preserve">It is </w:t>
      </w:r>
      <w:r w:rsidRPr="00835C21">
        <w:t>expected</w:t>
      </w:r>
      <w:r w:rsidRPr="006168F8">
        <w:t xml:space="preserve"> that the consumption of this category to remain stagnant as it has remained in the past </w:t>
      </w:r>
      <w:r w:rsidRPr="00DA193A">
        <w:t>years</w:t>
      </w:r>
      <w:r w:rsidRPr="006168F8">
        <w:t xml:space="preserve">. </w:t>
      </w:r>
      <w:r>
        <w:t xml:space="preserve">However, in the recent years, a very minimal increase in consumption has been observed. </w:t>
      </w:r>
      <w:r w:rsidRPr="006168F8">
        <w:t xml:space="preserve">Therefore </w:t>
      </w:r>
      <w:r>
        <w:t>b</w:t>
      </w:r>
      <w:r w:rsidRPr="006168F8">
        <w:t xml:space="preserve">ased on the </w:t>
      </w:r>
      <w:r>
        <w:t xml:space="preserve">calculated CAGR, </w:t>
      </w:r>
      <w:r w:rsidRPr="006168F8">
        <w:t xml:space="preserve">a </w:t>
      </w:r>
      <w:r>
        <w:t>growth rate of 0.47</w:t>
      </w:r>
      <w:r w:rsidRPr="006168F8">
        <w:t>%</w:t>
      </w:r>
      <w:r>
        <w:t xml:space="preserve"> (5-yr CAGR) for the number of consumers and 0.27</w:t>
      </w:r>
      <w:r w:rsidRPr="006168F8">
        <w:t>%</w:t>
      </w:r>
      <w:r>
        <w:t xml:space="preserve"> (5-yr CAGR)for consumption has been considered for projection for the MYT control period</w:t>
      </w:r>
      <w:r w:rsidRPr="006168F8">
        <w:t>.</w:t>
      </w:r>
    </w:p>
    <w:p w:rsidR="009846CC" w:rsidRPr="006168F8" w:rsidRDefault="009846CC" w:rsidP="009846CC">
      <w:pPr>
        <w:pStyle w:val="EDNormal"/>
        <w:rPr>
          <w:bCs/>
        </w:rPr>
      </w:pPr>
    </w:p>
    <w:p w:rsidR="009846CC" w:rsidRDefault="009846CC" w:rsidP="009846CC">
      <w:pPr>
        <w:pStyle w:val="ED-H3"/>
      </w:pPr>
      <w:bookmarkStart w:id="91" w:name="_Toc523560510"/>
      <w:r w:rsidRPr="0036294D">
        <w:rPr>
          <w:u w:val="single"/>
        </w:rPr>
        <w:t>Street</w:t>
      </w:r>
      <w:r w:rsidRPr="00E811D9">
        <w:rPr>
          <w:u w:val="single"/>
        </w:rPr>
        <w:t xml:space="preserve"> Lighting</w:t>
      </w:r>
      <w:r w:rsidRPr="006168F8">
        <w:t>:</w:t>
      </w:r>
      <w:bookmarkEnd w:id="91"/>
    </w:p>
    <w:p w:rsidR="009846CC" w:rsidRDefault="009846CC" w:rsidP="009846CC">
      <w:pPr>
        <w:pStyle w:val="ED-H3"/>
        <w:numPr>
          <w:ilvl w:val="0"/>
          <w:numId w:val="0"/>
        </w:numPr>
        <w:ind w:left="720"/>
      </w:pPr>
      <w:r w:rsidRPr="006168F8">
        <w:t xml:space="preserve">The street lighting consumption has </w:t>
      </w:r>
      <w:r>
        <w:t xml:space="preserve">not </w:t>
      </w:r>
      <w:r w:rsidRPr="006168F8">
        <w:t xml:space="preserve">grown </w:t>
      </w:r>
      <w:r>
        <w:t>and is expected to remain stagnant or rather decrease in future with replacement with LED lights, hence no increase has been considered for the MYT period.</w:t>
      </w:r>
    </w:p>
    <w:p w:rsidR="009846CC" w:rsidRPr="004D35D9" w:rsidRDefault="009846CC" w:rsidP="009846CC">
      <w:pPr>
        <w:pStyle w:val="EDNormal"/>
        <w:rPr>
          <w:bCs/>
          <w:sz w:val="22"/>
          <w:szCs w:val="20"/>
        </w:rPr>
      </w:pPr>
    </w:p>
    <w:p w:rsidR="009846CC" w:rsidRDefault="009846CC" w:rsidP="009846CC">
      <w:pPr>
        <w:pStyle w:val="ED-H3"/>
      </w:pPr>
      <w:bookmarkStart w:id="92" w:name="_Toc523560511"/>
      <w:r w:rsidRPr="00B0771A">
        <w:rPr>
          <w:u w:val="single"/>
        </w:rPr>
        <w:t>LT Industrial and Water Tanks</w:t>
      </w:r>
      <w:r>
        <w:t>:</w:t>
      </w:r>
      <w:bookmarkEnd w:id="92"/>
    </w:p>
    <w:p w:rsidR="009846CC" w:rsidRDefault="009846CC" w:rsidP="009846CC">
      <w:pPr>
        <w:pStyle w:val="ED-H3"/>
        <w:numPr>
          <w:ilvl w:val="0"/>
          <w:numId w:val="0"/>
        </w:numPr>
        <w:ind w:left="720"/>
      </w:pPr>
      <w:r>
        <w:t xml:space="preserve">The no. of consumers have increased very slightly over the past, however the </w:t>
      </w:r>
      <w:r>
        <w:lastRenderedPageBreak/>
        <w:t>consumption has seen a decreasing trend. Further, the same is expected to remain stagnant in future, hence no increase in consumption has been considered for the MYT period. T</w:t>
      </w:r>
      <w:r w:rsidRPr="006168F8">
        <w:t>he cons</w:t>
      </w:r>
      <w:r>
        <w:t>umers are</w:t>
      </w:r>
      <w:r w:rsidRPr="006168F8">
        <w:t xml:space="preserve"> expected to grow at </w:t>
      </w:r>
      <w:r>
        <w:t>1.28</w:t>
      </w:r>
      <w:r w:rsidRPr="006168F8">
        <w:t xml:space="preserve">% during the MYT </w:t>
      </w:r>
      <w:r w:rsidRPr="00835C21">
        <w:t>control</w:t>
      </w:r>
      <w:r w:rsidRPr="006168F8">
        <w:t xml:space="preserve"> period.</w:t>
      </w:r>
    </w:p>
    <w:p w:rsidR="009846CC" w:rsidRPr="004D35D9" w:rsidRDefault="009846CC" w:rsidP="009846CC">
      <w:pPr>
        <w:pStyle w:val="EDNormal"/>
        <w:rPr>
          <w:b/>
          <w:bCs/>
          <w:sz w:val="22"/>
          <w:szCs w:val="20"/>
        </w:rPr>
      </w:pPr>
    </w:p>
    <w:p w:rsidR="009846CC" w:rsidRPr="00B0771A" w:rsidRDefault="009846CC" w:rsidP="009846CC">
      <w:pPr>
        <w:pStyle w:val="ED-H3"/>
        <w:rPr>
          <w:u w:val="single"/>
        </w:rPr>
      </w:pPr>
      <w:bookmarkStart w:id="93" w:name="_Toc523560512"/>
      <w:r w:rsidRPr="00B0771A">
        <w:rPr>
          <w:u w:val="single"/>
        </w:rPr>
        <w:t>Temporary Supply</w:t>
      </w:r>
      <w:bookmarkEnd w:id="93"/>
      <w:r w:rsidR="00B0771A">
        <w:rPr>
          <w:u w:val="single"/>
        </w:rPr>
        <w:t>:</w:t>
      </w:r>
    </w:p>
    <w:p w:rsidR="009846CC" w:rsidRDefault="00B0771A" w:rsidP="009846CC">
      <w:pPr>
        <w:pStyle w:val="ED-H3"/>
        <w:numPr>
          <w:ilvl w:val="0"/>
          <w:numId w:val="0"/>
        </w:numPr>
        <w:ind w:left="720"/>
      </w:pPr>
      <w:r>
        <w:t xml:space="preserve">PED has </w:t>
      </w:r>
      <w:r w:rsidR="009846CC" w:rsidRPr="000B04AD">
        <w:t xml:space="preserve">projected </w:t>
      </w:r>
      <w:r>
        <w:t xml:space="preserve">the </w:t>
      </w:r>
      <w:r w:rsidR="009846CC">
        <w:t xml:space="preserve">sales from temporary supply </w:t>
      </w:r>
      <w:r>
        <w:t xml:space="preserve">at a 5 yr CAGR of 10.08% for the Control period from the existing connections, however </w:t>
      </w:r>
      <w:r w:rsidR="009846CC">
        <w:t xml:space="preserve">as the temporary </w:t>
      </w:r>
      <w:r>
        <w:t xml:space="preserve">connections </w:t>
      </w:r>
      <w:r w:rsidR="009846CC">
        <w:t>do not follow any particular pattern and it may increase or</w:t>
      </w:r>
      <w:r>
        <w:t xml:space="preserve"> decrease on year on year basis.</w:t>
      </w:r>
    </w:p>
    <w:p w:rsidR="009846CC" w:rsidRPr="004D35D9" w:rsidRDefault="009846CC" w:rsidP="009846CC">
      <w:pPr>
        <w:pStyle w:val="Heading3"/>
        <w:numPr>
          <w:ilvl w:val="0"/>
          <w:numId w:val="0"/>
        </w:numPr>
        <w:ind w:left="720"/>
        <w:rPr>
          <w:sz w:val="22"/>
          <w:szCs w:val="22"/>
        </w:rPr>
      </w:pPr>
    </w:p>
    <w:p w:rsidR="009846CC" w:rsidRPr="00B0771A" w:rsidRDefault="009846CC" w:rsidP="009846CC">
      <w:pPr>
        <w:pStyle w:val="ED-H3"/>
        <w:rPr>
          <w:u w:val="single"/>
        </w:rPr>
      </w:pPr>
      <w:bookmarkStart w:id="94" w:name="_Toc523560513"/>
      <w:r w:rsidRPr="00B0771A">
        <w:rPr>
          <w:u w:val="single"/>
        </w:rPr>
        <w:t>HT-1 (Industrial &amp; Commercial)</w:t>
      </w:r>
      <w:bookmarkEnd w:id="94"/>
      <w:r w:rsidR="00B0771A">
        <w:rPr>
          <w:u w:val="single"/>
        </w:rPr>
        <w:t>:</w:t>
      </w:r>
    </w:p>
    <w:p w:rsidR="009846CC" w:rsidRDefault="009846CC" w:rsidP="009846CC">
      <w:pPr>
        <w:pStyle w:val="ED-H3"/>
        <w:numPr>
          <w:ilvl w:val="0"/>
          <w:numId w:val="0"/>
        </w:numPr>
        <w:ind w:left="720"/>
      </w:pPr>
      <w:r w:rsidRPr="000054B9">
        <w:t xml:space="preserve">Due to economic slowdown in the country, most of the sectors have taken a hit and the consumption over the last couple of years by industries have decreased due to shutdown of few plants and </w:t>
      </w:r>
      <w:r w:rsidRPr="00DA193A">
        <w:t xml:space="preserve">running of plants at low operational levels. Considering the </w:t>
      </w:r>
      <w:r>
        <w:t xml:space="preserve">improvement in the </w:t>
      </w:r>
      <w:r w:rsidRPr="00835C21">
        <w:t>present</w:t>
      </w:r>
      <w:r w:rsidRPr="00DA193A">
        <w:t xml:space="preserve"> economic condition</w:t>
      </w:r>
      <w:r>
        <w:t xml:space="preserve"> whereby IPP data and inflation data are favourable</w:t>
      </w:r>
      <w:r w:rsidRPr="000054B9">
        <w:t>, the situation is expected to improve over the next few years. So the petitioner has c</w:t>
      </w:r>
      <w:r w:rsidR="00B0771A">
        <w:t>onsidered the growth rate of 2</w:t>
      </w:r>
      <w:r>
        <w:t>.</w:t>
      </w:r>
      <w:r w:rsidRPr="000054B9">
        <w:t>2</w:t>
      </w:r>
      <w:r>
        <w:t>8</w:t>
      </w:r>
      <w:r w:rsidRPr="000054B9">
        <w:t xml:space="preserve"> % in the number of consumers</w:t>
      </w:r>
      <w:r w:rsidR="00B0771A">
        <w:t xml:space="preserve"> and a nominal </w:t>
      </w:r>
      <w:r>
        <w:t xml:space="preserve">growth rate of </w:t>
      </w:r>
      <w:r w:rsidR="00B0771A">
        <w:t>2.5</w:t>
      </w:r>
      <w:r>
        <w:t>% in consumption is p</w:t>
      </w:r>
      <w:r w:rsidR="00B0771A">
        <w:t>rojected for the Control Period/</w:t>
      </w:r>
    </w:p>
    <w:p w:rsidR="009846CC" w:rsidRPr="004D35D9" w:rsidRDefault="009846CC" w:rsidP="009846CC">
      <w:pPr>
        <w:pStyle w:val="EDNormal"/>
        <w:rPr>
          <w:b/>
          <w:i/>
          <w:iCs/>
          <w:sz w:val="22"/>
          <w:szCs w:val="20"/>
        </w:rPr>
      </w:pPr>
    </w:p>
    <w:p w:rsidR="009846CC" w:rsidRPr="00B0771A" w:rsidRDefault="009846CC" w:rsidP="009846CC">
      <w:pPr>
        <w:pStyle w:val="ED-H3"/>
        <w:rPr>
          <w:u w:val="single"/>
        </w:rPr>
      </w:pPr>
      <w:bookmarkStart w:id="95" w:name="_Toc523560514"/>
      <w:r w:rsidRPr="00B0771A">
        <w:rPr>
          <w:u w:val="single"/>
        </w:rPr>
        <w:t>HT-2 (State and Central Govt. Establishments)</w:t>
      </w:r>
      <w:bookmarkEnd w:id="95"/>
      <w:r w:rsidR="00B0771A">
        <w:rPr>
          <w:u w:val="single"/>
        </w:rPr>
        <w:t>:</w:t>
      </w:r>
    </w:p>
    <w:p w:rsidR="009846CC" w:rsidRDefault="009846CC" w:rsidP="009846CC">
      <w:pPr>
        <w:pStyle w:val="ED-H3"/>
        <w:numPr>
          <w:ilvl w:val="0"/>
          <w:numId w:val="0"/>
        </w:numPr>
        <w:ind w:left="720"/>
      </w:pPr>
      <w:r w:rsidRPr="00DC44F4">
        <w:t>The HT-2 category of consumers is</w:t>
      </w:r>
      <w:r>
        <w:t xml:space="preserve"> ex</w:t>
      </w:r>
      <w:r w:rsidR="00B0771A">
        <w:t>pected to grow at a rate of 5.63</w:t>
      </w:r>
      <w:r w:rsidRPr="00DC44F4">
        <w:t xml:space="preserve">% based on the </w:t>
      </w:r>
      <w:r w:rsidR="00B0771A">
        <w:t>5</w:t>
      </w:r>
      <w:r>
        <w:t>-yr CAGR of audited years</w:t>
      </w:r>
      <w:r w:rsidRPr="00DC44F4">
        <w:t xml:space="preserve">. The consumption in this category is expected to grow with the infrastructure </w:t>
      </w:r>
      <w:r w:rsidRPr="00835C21">
        <w:t>development</w:t>
      </w:r>
      <w:r w:rsidRPr="00DC44F4">
        <w:t xml:space="preserve"> such as water works and sewage treatment plants. So a</w:t>
      </w:r>
      <w:r>
        <w:t xml:space="preserve"> nominal/ reasonable</w:t>
      </w:r>
      <w:r w:rsidR="00B0771A">
        <w:t xml:space="preserve"> growth rate of 19</w:t>
      </w:r>
      <w:r w:rsidRPr="00DC44F4">
        <w:t>%</w:t>
      </w:r>
      <w:r>
        <w:t xml:space="preserve"> in sales</w:t>
      </w:r>
      <w:r w:rsidRPr="00DC44F4">
        <w:t xml:space="preserve"> is considered for this category of consumer</w:t>
      </w:r>
      <w:r w:rsidR="00B0771A">
        <w:t xml:space="preserve"> for the controlperiod.</w:t>
      </w:r>
    </w:p>
    <w:p w:rsidR="009846CC" w:rsidRPr="004D35D9" w:rsidRDefault="009846CC" w:rsidP="009846CC">
      <w:pPr>
        <w:pStyle w:val="EDNormal"/>
        <w:ind w:left="720"/>
        <w:rPr>
          <w:bCs/>
          <w:sz w:val="22"/>
          <w:szCs w:val="20"/>
        </w:rPr>
      </w:pPr>
    </w:p>
    <w:p w:rsidR="009846CC" w:rsidRPr="00B0771A" w:rsidRDefault="009846CC" w:rsidP="009846CC">
      <w:pPr>
        <w:pStyle w:val="ED-H3"/>
        <w:rPr>
          <w:u w:val="single"/>
        </w:rPr>
      </w:pPr>
      <w:bookmarkStart w:id="96" w:name="_Toc523560515"/>
      <w:r w:rsidRPr="00B0771A">
        <w:rPr>
          <w:u w:val="single"/>
        </w:rPr>
        <w:t>HT-3 (Industrial Extra High Tension)</w:t>
      </w:r>
      <w:bookmarkEnd w:id="96"/>
      <w:r w:rsidR="00B0771A">
        <w:rPr>
          <w:u w:val="single"/>
        </w:rPr>
        <w:t>:</w:t>
      </w:r>
    </w:p>
    <w:p w:rsidR="009846CC" w:rsidRDefault="009846CC" w:rsidP="009846CC">
      <w:pPr>
        <w:pStyle w:val="ED-H3"/>
        <w:numPr>
          <w:ilvl w:val="0"/>
          <w:numId w:val="0"/>
        </w:numPr>
        <w:ind w:left="720"/>
      </w:pPr>
      <w:r w:rsidRPr="00DC44F4">
        <w:t xml:space="preserve">Considering the </w:t>
      </w:r>
      <w:r w:rsidRPr="00DA193A">
        <w:t>present</w:t>
      </w:r>
      <w:r w:rsidRPr="00DC44F4">
        <w:t xml:space="preserve"> economic situations, the petitioner on a conservative approach has </w:t>
      </w:r>
      <w:r w:rsidR="0031389C">
        <w:t xml:space="preserve">not </w:t>
      </w:r>
      <w:r w:rsidRPr="00DC44F4">
        <w:t xml:space="preserve">assumed </w:t>
      </w:r>
      <w:r w:rsidR="0031389C">
        <w:t>any addition in</w:t>
      </w:r>
      <w:r w:rsidRPr="00DC44F4">
        <w:t xml:space="preserve"> no of consumer to be added to the syst</w:t>
      </w:r>
      <w:r w:rsidR="0031389C">
        <w:t xml:space="preserve">em during the control period, however a nominal </w:t>
      </w:r>
      <w:r w:rsidRPr="00DC44F4">
        <w:t xml:space="preserve">growth in consumption is </w:t>
      </w:r>
      <w:r w:rsidR="0031389C">
        <w:t xml:space="preserve">considered </w:t>
      </w:r>
      <w:r>
        <w:t xml:space="preserve">at </w:t>
      </w:r>
      <w:r w:rsidR="0031389C">
        <w:t xml:space="preserve">2.5% against the CAGR of 10% </w:t>
      </w:r>
      <w:r w:rsidRPr="00DC44F4">
        <w:t>(3</w:t>
      </w:r>
      <w:r>
        <w:t>-yr CAGR</w:t>
      </w:r>
      <w:r w:rsidRPr="00DC44F4">
        <w:t>).</w:t>
      </w:r>
    </w:p>
    <w:p w:rsidR="009846CC" w:rsidRPr="004D35D9" w:rsidRDefault="009846CC" w:rsidP="009846CC">
      <w:pPr>
        <w:pStyle w:val="EDNormal"/>
        <w:rPr>
          <w:b/>
          <w:bCs/>
          <w:sz w:val="22"/>
          <w:szCs w:val="20"/>
        </w:rPr>
      </w:pPr>
    </w:p>
    <w:p w:rsidR="009846CC" w:rsidRDefault="001A2652" w:rsidP="009846CC">
      <w:pPr>
        <w:pStyle w:val="ED-H2"/>
      </w:pPr>
      <w:bookmarkStart w:id="97" w:name="_Toc523560516"/>
      <w:bookmarkStart w:id="98" w:name="_Toc523724484"/>
      <w:r>
        <w:t xml:space="preserve">Projected </w:t>
      </w:r>
      <w:r>
        <w:rPr>
          <w:lang w:val="en-GB"/>
        </w:rPr>
        <w:t>No. of Consumers, Connected Load and Sales</w:t>
      </w:r>
      <w:r w:rsidR="009846CC">
        <w:t xml:space="preserve"> for the MYT Control Period</w:t>
      </w:r>
      <w:bookmarkEnd w:id="97"/>
      <w:bookmarkEnd w:id="98"/>
    </w:p>
    <w:p w:rsidR="009846CC" w:rsidRDefault="009846CC" w:rsidP="009846CC">
      <w:pPr>
        <w:pStyle w:val="ED-H3"/>
      </w:pPr>
      <w:r>
        <w:t xml:space="preserve">Based on the above assumptions of growth rate, the projection for the sales/ consumption and number of consumers during the control period is </w:t>
      </w:r>
      <w:r w:rsidRPr="00353E51">
        <w:t>given</w:t>
      </w:r>
      <w:r>
        <w:t xml:space="preserve"> below.</w:t>
      </w:r>
    </w:p>
    <w:p w:rsidR="009846CC" w:rsidRDefault="009846CC" w:rsidP="00061AA6">
      <w:pPr>
        <w:pStyle w:val="Caption"/>
      </w:pPr>
      <w:bookmarkStart w:id="99" w:name="_Toc426377587"/>
      <w:bookmarkStart w:id="100" w:name="_Toc523719572"/>
      <w:r>
        <w:t xml:space="preserve">Table </w:t>
      </w:r>
      <w:r w:rsidR="00140E1B">
        <w:fldChar w:fldCharType="begin"/>
      </w:r>
      <w:r>
        <w:instrText xml:space="preserve"> SEQ Table \* ARABIC </w:instrText>
      </w:r>
      <w:r w:rsidR="00140E1B">
        <w:fldChar w:fldCharType="separate"/>
      </w:r>
      <w:r w:rsidR="004B7EE5">
        <w:rPr>
          <w:noProof/>
        </w:rPr>
        <w:t>13</w:t>
      </w:r>
      <w:r w:rsidR="00140E1B">
        <w:rPr>
          <w:noProof/>
        </w:rPr>
        <w:fldChar w:fldCharType="end"/>
      </w:r>
      <w:r>
        <w:t>: Projection of Number of Consumers for the MYT Control Period</w:t>
      </w:r>
      <w:bookmarkEnd w:id="99"/>
      <w:bookmarkEnd w:id="100"/>
    </w:p>
    <w:tbl>
      <w:tblPr>
        <w:tblW w:w="49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0"/>
        <w:gridCol w:w="1316"/>
        <w:gridCol w:w="1466"/>
        <w:gridCol w:w="1468"/>
        <w:gridCol w:w="1466"/>
      </w:tblGrid>
      <w:tr w:rsidR="009846CC" w:rsidRPr="009F7B0F" w:rsidTr="001A2652">
        <w:trPr>
          <w:trHeight w:val="300"/>
          <w:tblHeader/>
        </w:trPr>
        <w:tc>
          <w:tcPr>
            <w:tcW w:w="1854" w:type="pct"/>
            <w:shd w:val="clear" w:color="000000" w:fill="ACB9CA"/>
            <w:noWrap/>
            <w:vAlign w:val="center"/>
            <w:hideMark/>
          </w:tcPr>
          <w:p w:rsidR="009846CC" w:rsidRPr="009F7B0F" w:rsidRDefault="009846CC" w:rsidP="00E16426">
            <w:pPr>
              <w:spacing w:line="240" w:lineRule="auto"/>
              <w:jc w:val="center"/>
              <w:rPr>
                <w:b/>
                <w:bCs/>
                <w:sz w:val="22"/>
                <w:szCs w:val="22"/>
                <w:lang w:val="en-IN" w:eastAsia="en-IN"/>
              </w:rPr>
            </w:pPr>
            <w:r w:rsidRPr="009F7B0F">
              <w:rPr>
                <w:b/>
                <w:bCs/>
                <w:sz w:val="22"/>
                <w:szCs w:val="22"/>
                <w:lang w:val="en-IN" w:eastAsia="en-IN"/>
              </w:rPr>
              <w:t> </w:t>
            </w:r>
          </w:p>
        </w:tc>
        <w:tc>
          <w:tcPr>
            <w:tcW w:w="724" w:type="pct"/>
            <w:shd w:val="clear" w:color="000000" w:fill="ACB9CA"/>
            <w:noWrap/>
            <w:vAlign w:val="center"/>
            <w:hideMark/>
          </w:tcPr>
          <w:p w:rsidR="009846CC" w:rsidRPr="009F7B0F" w:rsidRDefault="009846CC" w:rsidP="00E16426">
            <w:pPr>
              <w:spacing w:line="240" w:lineRule="auto"/>
              <w:jc w:val="center"/>
              <w:rPr>
                <w:b/>
                <w:bCs/>
                <w:color w:val="000000"/>
                <w:sz w:val="22"/>
                <w:szCs w:val="22"/>
                <w:lang w:val="en-IN" w:eastAsia="en-IN"/>
              </w:rPr>
            </w:pPr>
            <w:r w:rsidRPr="009F7B0F">
              <w:rPr>
                <w:b/>
                <w:bCs/>
                <w:color w:val="000000"/>
                <w:sz w:val="22"/>
                <w:szCs w:val="22"/>
                <w:lang w:val="en-IN" w:eastAsia="en-IN"/>
              </w:rPr>
              <w:t>Base Year</w:t>
            </w:r>
          </w:p>
        </w:tc>
        <w:tc>
          <w:tcPr>
            <w:tcW w:w="2422" w:type="pct"/>
            <w:gridSpan w:val="3"/>
            <w:shd w:val="clear" w:color="000000" w:fill="ACB9CA"/>
            <w:noWrap/>
            <w:vAlign w:val="center"/>
            <w:hideMark/>
          </w:tcPr>
          <w:p w:rsidR="009846CC" w:rsidRPr="009F7B0F" w:rsidRDefault="009846CC" w:rsidP="00E16426">
            <w:pPr>
              <w:spacing w:line="240" w:lineRule="auto"/>
              <w:jc w:val="center"/>
              <w:rPr>
                <w:b/>
                <w:bCs/>
                <w:color w:val="000000"/>
                <w:sz w:val="22"/>
                <w:szCs w:val="22"/>
                <w:lang w:val="en-IN" w:eastAsia="en-IN"/>
              </w:rPr>
            </w:pPr>
            <w:r w:rsidRPr="009F7B0F">
              <w:rPr>
                <w:b/>
                <w:bCs/>
                <w:color w:val="000000"/>
                <w:sz w:val="22"/>
                <w:szCs w:val="22"/>
                <w:lang w:val="en-IN" w:eastAsia="en-IN"/>
              </w:rPr>
              <w:t>Projections</w:t>
            </w:r>
          </w:p>
        </w:tc>
      </w:tr>
      <w:tr w:rsidR="009846CC" w:rsidRPr="009F7B0F" w:rsidTr="001A2652">
        <w:trPr>
          <w:trHeight w:val="300"/>
          <w:tblHeader/>
        </w:trPr>
        <w:tc>
          <w:tcPr>
            <w:tcW w:w="1854" w:type="pct"/>
            <w:shd w:val="clear" w:color="000000" w:fill="ACB9CA"/>
            <w:noWrap/>
            <w:vAlign w:val="center"/>
            <w:hideMark/>
          </w:tcPr>
          <w:p w:rsidR="009846CC" w:rsidRPr="009F7B0F" w:rsidRDefault="009846CC" w:rsidP="00E16426">
            <w:pPr>
              <w:spacing w:line="240" w:lineRule="auto"/>
              <w:jc w:val="center"/>
              <w:rPr>
                <w:b/>
                <w:bCs/>
                <w:sz w:val="22"/>
                <w:szCs w:val="22"/>
                <w:lang w:val="en-IN" w:eastAsia="en-IN"/>
              </w:rPr>
            </w:pPr>
            <w:r w:rsidRPr="009F7B0F">
              <w:rPr>
                <w:b/>
                <w:bCs/>
                <w:sz w:val="22"/>
                <w:szCs w:val="22"/>
                <w:lang w:val="en-IN" w:eastAsia="en-IN"/>
              </w:rPr>
              <w:lastRenderedPageBreak/>
              <w:t>Consumer Category</w:t>
            </w:r>
          </w:p>
        </w:tc>
        <w:tc>
          <w:tcPr>
            <w:tcW w:w="724" w:type="pct"/>
            <w:shd w:val="clear" w:color="000000" w:fill="ACB9CA"/>
            <w:noWrap/>
            <w:vAlign w:val="center"/>
            <w:hideMark/>
          </w:tcPr>
          <w:p w:rsidR="009846CC" w:rsidRPr="009F7B0F" w:rsidRDefault="009846CC" w:rsidP="00E16426">
            <w:pPr>
              <w:spacing w:line="240" w:lineRule="auto"/>
              <w:jc w:val="center"/>
              <w:rPr>
                <w:b/>
                <w:bCs/>
                <w:color w:val="000000"/>
                <w:sz w:val="22"/>
                <w:szCs w:val="22"/>
                <w:lang w:val="en-IN" w:eastAsia="en-IN"/>
              </w:rPr>
            </w:pPr>
            <w:r w:rsidRPr="009F7B0F">
              <w:rPr>
                <w:b/>
                <w:bCs/>
                <w:color w:val="000000"/>
                <w:sz w:val="22"/>
                <w:szCs w:val="22"/>
                <w:lang w:val="en-IN" w:eastAsia="en-IN"/>
              </w:rPr>
              <w:t>FY 2018-19</w:t>
            </w:r>
          </w:p>
        </w:tc>
        <w:tc>
          <w:tcPr>
            <w:tcW w:w="807" w:type="pct"/>
            <w:shd w:val="clear" w:color="000000" w:fill="ACB9CA"/>
            <w:noWrap/>
            <w:vAlign w:val="center"/>
            <w:hideMark/>
          </w:tcPr>
          <w:p w:rsidR="009846CC" w:rsidRPr="009F7B0F" w:rsidRDefault="009846CC" w:rsidP="00E16426">
            <w:pPr>
              <w:spacing w:line="240" w:lineRule="auto"/>
              <w:jc w:val="center"/>
              <w:rPr>
                <w:b/>
                <w:bCs/>
                <w:color w:val="000000"/>
                <w:sz w:val="22"/>
                <w:szCs w:val="22"/>
                <w:lang w:val="en-IN" w:eastAsia="en-IN"/>
              </w:rPr>
            </w:pPr>
            <w:r w:rsidRPr="009F7B0F">
              <w:rPr>
                <w:b/>
                <w:bCs/>
                <w:color w:val="000000"/>
                <w:sz w:val="22"/>
                <w:szCs w:val="22"/>
                <w:lang w:val="en-IN" w:eastAsia="en-IN"/>
              </w:rPr>
              <w:t>FY 2019-20</w:t>
            </w:r>
          </w:p>
        </w:tc>
        <w:tc>
          <w:tcPr>
            <w:tcW w:w="808" w:type="pct"/>
            <w:shd w:val="clear" w:color="000000" w:fill="ACB9CA"/>
            <w:noWrap/>
            <w:vAlign w:val="center"/>
            <w:hideMark/>
          </w:tcPr>
          <w:p w:rsidR="009846CC" w:rsidRPr="009F7B0F" w:rsidRDefault="009846CC" w:rsidP="00E16426">
            <w:pPr>
              <w:spacing w:line="240" w:lineRule="auto"/>
              <w:jc w:val="center"/>
              <w:rPr>
                <w:b/>
                <w:bCs/>
                <w:color w:val="000000"/>
                <w:sz w:val="22"/>
                <w:szCs w:val="22"/>
                <w:lang w:val="en-IN" w:eastAsia="en-IN"/>
              </w:rPr>
            </w:pPr>
            <w:r w:rsidRPr="009F7B0F">
              <w:rPr>
                <w:b/>
                <w:bCs/>
                <w:color w:val="000000"/>
                <w:sz w:val="22"/>
                <w:szCs w:val="22"/>
                <w:lang w:val="en-IN" w:eastAsia="en-IN"/>
              </w:rPr>
              <w:t>FY 2020-21</w:t>
            </w:r>
          </w:p>
        </w:tc>
        <w:tc>
          <w:tcPr>
            <w:tcW w:w="807" w:type="pct"/>
            <w:shd w:val="clear" w:color="000000" w:fill="ACB9CA"/>
            <w:noWrap/>
            <w:vAlign w:val="center"/>
            <w:hideMark/>
          </w:tcPr>
          <w:p w:rsidR="009846CC" w:rsidRPr="009F7B0F" w:rsidRDefault="009846CC" w:rsidP="00E16426">
            <w:pPr>
              <w:spacing w:line="240" w:lineRule="auto"/>
              <w:jc w:val="center"/>
              <w:rPr>
                <w:b/>
                <w:bCs/>
                <w:color w:val="000000"/>
                <w:sz w:val="22"/>
                <w:szCs w:val="22"/>
                <w:lang w:val="en-IN" w:eastAsia="en-IN"/>
              </w:rPr>
            </w:pPr>
            <w:r w:rsidRPr="009F7B0F">
              <w:rPr>
                <w:b/>
                <w:bCs/>
                <w:color w:val="000000"/>
                <w:sz w:val="22"/>
                <w:szCs w:val="22"/>
                <w:lang w:val="en-IN" w:eastAsia="en-IN"/>
              </w:rPr>
              <w:t>FY 2021-22</w:t>
            </w:r>
          </w:p>
        </w:tc>
      </w:tr>
      <w:tr w:rsidR="009846CC" w:rsidRPr="009F7B0F" w:rsidTr="009A6247">
        <w:trPr>
          <w:trHeight w:val="300"/>
        </w:trPr>
        <w:tc>
          <w:tcPr>
            <w:tcW w:w="1854" w:type="pct"/>
            <w:shd w:val="clear" w:color="auto" w:fill="auto"/>
            <w:noWrap/>
            <w:vAlign w:val="center"/>
            <w:hideMark/>
          </w:tcPr>
          <w:p w:rsidR="009846CC" w:rsidRPr="009F7B0F" w:rsidRDefault="009846CC" w:rsidP="00E16426">
            <w:pPr>
              <w:spacing w:line="240" w:lineRule="auto"/>
              <w:jc w:val="left"/>
              <w:rPr>
                <w:color w:val="000000"/>
                <w:sz w:val="22"/>
                <w:szCs w:val="22"/>
                <w:lang w:val="en-IN" w:eastAsia="en-IN"/>
              </w:rPr>
            </w:pPr>
            <w:r w:rsidRPr="009F7B0F">
              <w:rPr>
                <w:color w:val="000000"/>
                <w:sz w:val="22"/>
                <w:szCs w:val="22"/>
                <w:lang w:val="en-IN" w:eastAsia="en-IN"/>
              </w:rPr>
              <w:t>Domestic</w:t>
            </w:r>
          </w:p>
        </w:tc>
        <w:tc>
          <w:tcPr>
            <w:tcW w:w="724" w:type="pct"/>
            <w:shd w:val="clear" w:color="auto" w:fill="auto"/>
            <w:noWrap/>
            <w:vAlign w:val="center"/>
            <w:hideMark/>
          </w:tcPr>
          <w:p w:rsidR="009846CC" w:rsidRPr="009F7B0F" w:rsidRDefault="009846CC" w:rsidP="00735CAB">
            <w:pPr>
              <w:spacing w:line="240" w:lineRule="auto"/>
              <w:jc w:val="right"/>
              <w:rPr>
                <w:sz w:val="22"/>
                <w:szCs w:val="22"/>
                <w:lang w:val="en-IN" w:eastAsia="en-IN"/>
              </w:rPr>
            </w:pPr>
            <w:r w:rsidRPr="009F7B0F">
              <w:rPr>
                <w:sz w:val="22"/>
                <w:szCs w:val="22"/>
                <w:lang w:val="en-IN" w:eastAsia="en-IN"/>
              </w:rPr>
              <w:t>3,40,834</w:t>
            </w:r>
          </w:p>
        </w:tc>
        <w:tc>
          <w:tcPr>
            <w:tcW w:w="807" w:type="pct"/>
            <w:shd w:val="clear" w:color="auto" w:fill="auto"/>
            <w:noWrap/>
            <w:vAlign w:val="center"/>
            <w:hideMark/>
          </w:tcPr>
          <w:p w:rsidR="009846CC" w:rsidRPr="009F7B0F" w:rsidRDefault="009846CC" w:rsidP="00735CAB">
            <w:pPr>
              <w:spacing w:line="240" w:lineRule="auto"/>
              <w:jc w:val="right"/>
              <w:rPr>
                <w:color w:val="000000"/>
                <w:sz w:val="22"/>
                <w:szCs w:val="22"/>
                <w:lang w:val="en-IN" w:eastAsia="en-IN"/>
              </w:rPr>
            </w:pPr>
            <w:r w:rsidRPr="009F7B0F">
              <w:rPr>
                <w:color w:val="000000"/>
                <w:sz w:val="22"/>
                <w:szCs w:val="22"/>
                <w:lang w:val="en-IN" w:eastAsia="en-IN"/>
              </w:rPr>
              <w:t>3,56,512</w:t>
            </w:r>
          </w:p>
        </w:tc>
        <w:tc>
          <w:tcPr>
            <w:tcW w:w="808" w:type="pct"/>
            <w:shd w:val="clear" w:color="auto" w:fill="auto"/>
            <w:noWrap/>
            <w:vAlign w:val="center"/>
            <w:hideMark/>
          </w:tcPr>
          <w:p w:rsidR="009846CC" w:rsidRPr="009F7B0F" w:rsidRDefault="009846CC" w:rsidP="00735CAB">
            <w:pPr>
              <w:spacing w:line="240" w:lineRule="auto"/>
              <w:jc w:val="right"/>
              <w:rPr>
                <w:color w:val="000000"/>
                <w:sz w:val="22"/>
                <w:szCs w:val="22"/>
                <w:lang w:val="en-IN" w:eastAsia="en-IN"/>
              </w:rPr>
            </w:pPr>
            <w:r w:rsidRPr="009F7B0F">
              <w:rPr>
                <w:color w:val="000000"/>
                <w:sz w:val="22"/>
                <w:szCs w:val="22"/>
                <w:lang w:val="en-IN" w:eastAsia="en-IN"/>
              </w:rPr>
              <w:t>3,72,911</w:t>
            </w:r>
          </w:p>
        </w:tc>
        <w:tc>
          <w:tcPr>
            <w:tcW w:w="807" w:type="pct"/>
            <w:shd w:val="clear" w:color="auto" w:fill="auto"/>
            <w:noWrap/>
            <w:vAlign w:val="center"/>
            <w:hideMark/>
          </w:tcPr>
          <w:p w:rsidR="009846CC" w:rsidRPr="009F7B0F" w:rsidRDefault="009846CC" w:rsidP="00735CAB">
            <w:pPr>
              <w:spacing w:line="240" w:lineRule="auto"/>
              <w:jc w:val="right"/>
              <w:rPr>
                <w:color w:val="000000"/>
                <w:sz w:val="22"/>
                <w:szCs w:val="22"/>
                <w:lang w:val="en-IN" w:eastAsia="en-IN"/>
              </w:rPr>
            </w:pPr>
            <w:r w:rsidRPr="009F7B0F">
              <w:rPr>
                <w:color w:val="000000"/>
                <w:sz w:val="22"/>
                <w:szCs w:val="22"/>
                <w:lang w:val="en-IN" w:eastAsia="en-IN"/>
              </w:rPr>
              <w:t>3,90,065</w:t>
            </w:r>
          </w:p>
        </w:tc>
      </w:tr>
      <w:tr w:rsidR="009846CC" w:rsidRPr="009F7B0F" w:rsidTr="009A6247">
        <w:trPr>
          <w:trHeight w:val="300"/>
        </w:trPr>
        <w:tc>
          <w:tcPr>
            <w:tcW w:w="1854" w:type="pct"/>
            <w:shd w:val="clear" w:color="auto" w:fill="auto"/>
            <w:noWrap/>
            <w:vAlign w:val="center"/>
            <w:hideMark/>
          </w:tcPr>
          <w:p w:rsidR="009846CC" w:rsidRPr="009F7B0F" w:rsidRDefault="009846CC" w:rsidP="00E16426">
            <w:pPr>
              <w:spacing w:line="240" w:lineRule="auto"/>
              <w:jc w:val="left"/>
              <w:rPr>
                <w:color w:val="000000"/>
                <w:sz w:val="22"/>
                <w:szCs w:val="22"/>
                <w:lang w:val="en-IN" w:eastAsia="en-IN"/>
              </w:rPr>
            </w:pPr>
            <w:r w:rsidRPr="009F7B0F">
              <w:rPr>
                <w:color w:val="000000"/>
                <w:sz w:val="22"/>
                <w:szCs w:val="22"/>
                <w:lang w:val="en-IN" w:eastAsia="en-IN"/>
              </w:rPr>
              <w:t>OHOB</w:t>
            </w:r>
          </w:p>
        </w:tc>
        <w:tc>
          <w:tcPr>
            <w:tcW w:w="724" w:type="pct"/>
            <w:shd w:val="clear" w:color="auto" w:fill="auto"/>
            <w:noWrap/>
            <w:vAlign w:val="center"/>
            <w:hideMark/>
          </w:tcPr>
          <w:p w:rsidR="009846CC" w:rsidRPr="009F7B0F" w:rsidRDefault="009846CC" w:rsidP="00735CAB">
            <w:pPr>
              <w:spacing w:line="240" w:lineRule="auto"/>
              <w:jc w:val="right"/>
              <w:rPr>
                <w:sz w:val="22"/>
                <w:szCs w:val="22"/>
                <w:lang w:val="en-IN" w:eastAsia="en-IN"/>
              </w:rPr>
            </w:pPr>
            <w:r w:rsidRPr="009F7B0F">
              <w:rPr>
                <w:sz w:val="22"/>
                <w:szCs w:val="22"/>
                <w:lang w:val="en-IN" w:eastAsia="en-IN"/>
              </w:rPr>
              <w:t>35,537</w:t>
            </w:r>
          </w:p>
        </w:tc>
        <w:tc>
          <w:tcPr>
            <w:tcW w:w="807" w:type="pct"/>
            <w:shd w:val="clear" w:color="auto" w:fill="auto"/>
            <w:noWrap/>
            <w:vAlign w:val="center"/>
            <w:hideMark/>
          </w:tcPr>
          <w:p w:rsidR="009846CC" w:rsidRPr="009F7B0F" w:rsidRDefault="009846CC" w:rsidP="00735CAB">
            <w:pPr>
              <w:spacing w:line="240" w:lineRule="auto"/>
              <w:jc w:val="right"/>
              <w:rPr>
                <w:color w:val="000000"/>
                <w:sz w:val="22"/>
                <w:szCs w:val="22"/>
                <w:lang w:val="en-IN" w:eastAsia="en-IN"/>
              </w:rPr>
            </w:pPr>
            <w:r w:rsidRPr="009F7B0F">
              <w:rPr>
                <w:color w:val="000000"/>
                <w:sz w:val="22"/>
                <w:szCs w:val="22"/>
                <w:lang w:val="en-IN" w:eastAsia="en-IN"/>
              </w:rPr>
              <w:t>35,537</w:t>
            </w:r>
          </w:p>
        </w:tc>
        <w:tc>
          <w:tcPr>
            <w:tcW w:w="808" w:type="pct"/>
            <w:shd w:val="clear" w:color="auto" w:fill="auto"/>
            <w:noWrap/>
            <w:vAlign w:val="center"/>
            <w:hideMark/>
          </w:tcPr>
          <w:p w:rsidR="009846CC" w:rsidRPr="009F7B0F" w:rsidRDefault="009846CC" w:rsidP="00735CAB">
            <w:pPr>
              <w:spacing w:line="240" w:lineRule="auto"/>
              <w:jc w:val="right"/>
              <w:rPr>
                <w:color w:val="000000"/>
                <w:sz w:val="22"/>
                <w:szCs w:val="22"/>
                <w:lang w:val="en-IN" w:eastAsia="en-IN"/>
              </w:rPr>
            </w:pPr>
            <w:r w:rsidRPr="009F7B0F">
              <w:rPr>
                <w:color w:val="000000"/>
                <w:sz w:val="22"/>
                <w:szCs w:val="22"/>
                <w:lang w:val="en-IN" w:eastAsia="en-IN"/>
              </w:rPr>
              <w:t>35,537</w:t>
            </w:r>
          </w:p>
        </w:tc>
        <w:tc>
          <w:tcPr>
            <w:tcW w:w="807" w:type="pct"/>
            <w:shd w:val="clear" w:color="auto" w:fill="auto"/>
            <w:noWrap/>
            <w:vAlign w:val="center"/>
            <w:hideMark/>
          </w:tcPr>
          <w:p w:rsidR="009846CC" w:rsidRPr="009F7B0F" w:rsidRDefault="009846CC" w:rsidP="00735CAB">
            <w:pPr>
              <w:spacing w:line="240" w:lineRule="auto"/>
              <w:jc w:val="right"/>
              <w:rPr>
                <w:color w:val="000000"/>
                <w:sz w:val="22"/>
                <w:szCs w:val="22"/>
                <w:lang w:val="en-IN" w:eastAsia="en-IN"/>
              </w:rPr>
            </w:pPr>
            <w:r w:rsidRPr="009F7B0F">
              <w:rPr>
                <w:color w:val="000000"/>
                <w:sz w:val="22"/>
                <w:szCs w:val="22"/>
                <w:lang w:val="en-IN" w:eastAsia="en-IN"/>
              </w:rPr>
              <w:t>35,537</w:t>
            </w:r>
          </w:p>
        </w:tc>
      </w:tr>
      <w:tr w:rsidR="009846CC" w:rsidRPr="009F7B0F" w:rsidTr="009A6247">
        <w:trPr>
          <w:trHeight w:val="300"/>
        </w:trPr>
        <w:tc>
          <w:tcPr>
            <w:tcW w:w="1854" w:type="pct"/>
            <w:shd w:val="clear" w:color="auto" w:fill="auto"/>
            <w:noWrap/>
            <w:vAlign w:val="center"/>
            <w:hideMark/>
          </w:tcPr>
          <w:p w:rsidR="009846CC" w:rsidRPr="009F7B0F" w:rsidRDefault="009846CC" w:rsidP="00E16426">
            <w:pPr>
              <w:spacing w:line="240" w:lineRule="auto"/>
              <w:jc w:val="left"/>
              <w:rPr>
                <w:color w:val="000000"/>
                <w:sz w:val="22"/>
                <w:szCs w:val="22"/>
                <w:lang w:val="en-IN" w:eastAsia="en-IN"/>
              </w:rPr>
            </w:pPr>
            <w:r w:rsidRPr="009F7B0F">
              <w:rPr>
                <w:color w:val="000000"/>
                <w:sz w:val="22"/>
                <w:szCs w:val="22"/>
                <w:lang w:val="en-IN" w:eastAsia="en-IN"/>
              </w:rPr>
              <w:t>Commercial</w:t>
            </w:r>
          </w:p>
        </w:tc>
        <w:tc>
          <w:tcPr>
            <w:tcW w:w="724" w:type="pct"/>
            <w:shd w:val="clear" w:color="auto" w:fill="auto"/>
            <w:noWrap/>
            <w:vAlign w:val="center"/>
            <w:hideMark/>
          </w:tcPr>
          <w:p w:rsidR="009846CC" w:rsidRPr="009F7B0F" w:rsidRDefault="009846CC" w:rsidP="00735CAB">
            <w:pPr>
              <w:spacing w:line="240" w:lineRule="auto"/>
              <w:jc w:val="right"/>
              <w:rPr>
                <w:sz w:val="22"/>
                <w:szCs w:val="22"/>
                <w:lang w:val="en-IN" w:eastAsia="en-IN"/>
              </w:rPr>
            </w:pPr>
            <w:r w:rsidRPr="009F7B0F">
              <w:rPr>
                <w:sz w:val="22"/>
                <w:szCs w:val="22"/>
                <w:lang w:val="en-IN" w:eastAsia="en-IN"/>
              </w:rPr>
              <w:t>56,371</w:t>
            </w:r>
          </w:p>
        </w:tc>
        <w:tc>
          <w:tcPr>
            <w:tcW w:w="807" w:type="pct"/>
            <w:shd w:val="clear" w:color="auto" w:fill="auto"/>
            <w:noWrap/>
            <w:vAlign w:val="center"/>
            <w:hideMark/>
          </w:tcPr>
          <w:p w:rsidR="009846CC" w:rsidRPr="009F7B0F" w:rsidRDefault="009846CC" w:rsidP="00735CAB">
            <w:pPr>
              <w:spacing w:line="240" w:lineRule="auto"/>
              <w:jc w:val="right"/>
              <w:rPr>
                <w:color w:val="000000"/>
                <w:sz w:val="22"/>
                <w:szCs w:val="22"/>
                <w:lang w:val="en-IN" w:eastAsia="en-IN"/>
              </w:rPr>
            </w:pPr>
            <w:r w:rsidRPr="009F7B0F">
              <w:rPr>
                <w:color w:val="000000"/>
                <w:sz w:val="22"/>
                <w:szCs w:val="22"/>
                <w:lang w:val="en-IN" w:eastAsia="en-IN"/>
              </w:rPr>
              <w:t>58,888</w:t>
            </w:r>
          </w:p>
        </w:tc>
        <w:tc>
          <w:tcPr>
            <w:tcW w:w="808" w:type="pct"/>
            <w:shd w:val="clear" w:color="auto" w:fill="auto"/>
            <w:noWrap/>
            <w:vAlign w:val="center"/>
            <w:hideMark/>
          </w:tcPr>
          <w:p w:rsidR="009846CC" w:rsidRPr="009F7B0F" w:rsidRDefault="009846CC" w:rsidP="00735CAB">
            <w:pPr>
              <w:spacing w:line="240" w:lineRule="auto"/>
              <w:jc w:val="right"/>
              <w:rPr>
                <w:color w:val="000000"/>
                <w:sz w:val="22"/>
                <w:szCs w:val="22"/>
                <w:lang w:val="en-IN" w:eastAsia="en-IN"/>
              </w:rPr>
            </w:pPr>
            <w:r w:rsidRPr="009F7B0F">
              <w:rPr>
                <w:color w:val="000000"/>
                <w:sz w:val="22"/>
                <w:szCs w:val="22"/>
                <w:lang w:val="en-IN" w:eastAsia="en-IN"/>
              </w:rPr>
              <w:t>61,518</w:t>
            </w:r>
          </w:p>
        </w:tc>
        <w:tc>
          <w:tcPr>
            <w:tcW w:w="807" w:type="pct"/>
            <w:shd w:val="clear" w:color="auto" w:fill="auto"/>
            <w:noWrap/>
            <w:vAlign w:val="center"/>
            <w:hideMark/>
          </w:tcPr>
          <w:p w:rsidR="009846CC" w:rsidRPr="009F7B0F" w:rsidRDefault="009846CC" w:rsidP="00735CAB">
            <w:pPr>
              <w:spacing w:line="240" w:lineRule="auto"/>
              <w:jc w:val="right"/>
              <w:rPr>
                <w:color w:val="000000"/>
                <w:sz w:val="22"/>
                <w:szCs w:val="22"/>
                <w:lang w:val="en-IN" w:eastAsia="en-IN"/>
              </w:rPr>
            </w:pPr>
            <w:r w:rsidRPr="009F7B0F">
              <w:rPr>
                <w:color w:val="000000"/>
                <w:sz w:val="22"/>
                <w:szCs w:val="22"/>
                <w:lang w:val="en-IN" w:eastAsia="en-IN"/>
              </w:rPr>
              <w:t>64,265</w:t>
            </w:r>
          </w:p>
        </w:tc>
      </w:tr>
      <w:tr w:rsidR="009846CC" w:rsidRPr="009F7B0F" w:rsidTr="009A6247">
        <w:trPr>
          <w:trHeight w:val="300"/>
        </w:trPr>
        <w:tc>
          <w:tcPr>
            <w:tcW w:w="1854" w:type="pct"/>
            <w:shd w:val="clear" w:color="auto" w:fill="auto"/>
            <w:noWrap/>
            <w:vAlign w:val="center"/>
            <w:hideMark/>
          </w:tcPr>
          <w:p w:rsidR="009846CC" w:rsidRPr="009F7B0F" w:rsidRDefault="009846CC" w:rsidP="00E16426">
            <w:pPr>
              <w:spacing w:line="240" w:lineRule="auto"/>
              <w:jc w:val="left"/>
              <w:rPr>
                <w:color w:val="000000"/>
                <w:sz w:val="22"/>
                <w:szCs w:val="22"/>
                <w:lang w:val="en-IN" w:eastAsia="en-IN"/>
              </w:rPr>
            </w:pPr>
            <w:r w:rsidRPr="009F7B0F">
              <w:rPr>
                <w:color w:val="000000"/>
                <w:sz w:val="22"/>
                <w:szCs w:val="22"/>
                <w:lang w:val="en-IN" w:eastAsia="en-IN"/>
              </w:rPr>
              <w:t>Agriculture</w:t>
            </w:r>
          </w:p>
        </w:tc>
        <w:tc>
          <w:tcPr>
            <w:tcW w:w="724" w:type="pct"/>
            <w:shd w:val="clear" w:color="auto" w:fill="auto"/>
            <w:noWrap/>
            <w:vAlign w:val="center"/>
            <w:hideMark/>
          </w:tcPr>
          <w:p w:rsidR="009846CC" w:rsidRPr="009F7B0F" w:rsidRDefault="009846CC" w:rsidP="00735CAB">
            <w:pPr>
              <w:spacing w:line="240" w:lineRule="auto"/>
              <w:jc w:val="right"/>
              <w:rPr>
                <w:sz w:val="22"/>
                <w:szCs w:val="22"/>
                <w:lang w:val="en-IN" w:eastAsia="en-IN"/>
              </w:rPr>
            </w:pPr>
            <w:r w:rsidRPr="009F7B0F">
              <w:rPr>
                <w:sz w:val="22"/>
                <w:szCs w:val="22"/>
                <w:lang w:val="en-IN" w:eastAsia="en-IN"/>
              </w:rPr>
              <w:t>6,973</w:t>
            </w:r>
          </w:p>
        </w:tc>
        <w:tc>
          <w:tcPr>
            <w:tcW w:w="807" w:type="pct"/>
            <w:shd w:val="clear" w:color="auto" w:fill="auto"/>
            <w:noWrap/>
            <w:vAlign w:val="center"/>
            <w:hideMark/>
          </w:tcPr>
          <w:p w:rsidR="009846CC" w:rsidRPr="009F7B0F" w:rsidRDefault="009846CC" w:rsidP="00735CAB">
            <w:pPr>
              <w:spacing w:line="240" w:lineRule="auto"/>
              <w:jc w:val="right"/>
              <w:rPr>
                <w:color w:val="000000"/>
                <w:sz w:val="22"/>
                <w:szCs w:val="22"/>
                <w:lang w:val="en-IN" w:eastAsia="en-IN"/>
              </w:rPr>
            </w:pPr>
            <w:r w:rsidRPr="009F7B0F">
              <w:rPr>
                <w:color w:val="000000"/>
                <w:sz w:val="22"/>
                <w:szCs w:val="22"/>
                <w:lang w:val="en-IN" w:eastAsia="en-IN"/>
              </w:rPr>
              <w:t>7,006</w:t>
            </w:r>
          </w:p>
        </w:tc>
        <w:tc>
          <w:tcPr>
            <w:tcW w:w="808" w:type="pct"/>
            <w:shd w:val="clear" w:color="auto" w:fill="auto"/>
            <w:noWrap/>
            <w:vAlign w:val="center"/>
            <w:hideMark/>
          </w:tcPr>
          <w:p w:rsidR="009846CC" w:rsidRPr="009F7B0F" w:rsidRDefault="009846CC" w:rsidP="00735CAB">
            <w:pPr>
              <w:spacing w:line="240" w:lineRule="auto"/>
              <w:jc w:val="right"/>
              <w:rPr>
                <w:color w:val="000000"/>
                <w:sz w:val="22"/>
                <w:szCs w:val="22"/>
                <w:lang w:val="en-IN" w:eastAsia="en-IN"/>
              </w:rPr>
            </w:pPr>
            <w:r w:rsidRPr="009F7B0F">
              <w:rPr>
                <w:color w:val="000000"/>
                <w:sz w:val="22"/>
                <w:szCs w:val="22"/>
                <w:lang w:val="en-IN" w:eastAsia="en-IN"/>
              </w:rPr>
              <w:t>7,039</w:t>
            </w:r>
          </w:p>
        </w:tc>
        <w:tc>
          <w:tcPr>
            <w:tcW w:w="807" w:type="pct"/>
            <w:shd w:val="clear" w:color="auto" w:fill="auto"/>
            <w:noWrap/>
            <w:vAlign w:val="center"/>
            <w:hideMark/>
          </w:tcPr>
          <w:p w:rsidR="009846CC" w:rsidRPr="009F7B0F" w:rsidRDefault="009846CC" w:rsidP="00735CAB">
            <w:pPr>
              <w:spacing w:line="240" w:lineRule="auto"/>
              <w:jc w:val="right"/>
              <w:rPr>
                <w:color w:val="000000"/>
                <w:sz w:val="22"/>
                <w:szCs w:val="22"/>
                <w:lang w:val="en-IN" w:eastAsia="en-IN"/>
              </w:rPr>
            </w:pPr>
            <w:r w:rsidRPr="009F7B0F">
              <w:rPr>
                <w:color w:val="000000"/>
                <w:sz w:val="22"/>
                <w:szCs w:val="22"/>
                <w:lang w:val="en-IN" w:eastAsia="en-IN"/>
              </w:rPr>
              <w:t>7,072</w:t>
            </w:r>
          </w:p>
        </w:tc>
      </w:tr>
      <w:tr w:rsidR="009846CC" w:rsidRPr="009F7B0F" w:rsidTr="009A6247">
        <w:trPr>
          <w:trHeight w:val="300"/>
        </w:trPr>
        <w:tc>
          <w:tcPr>
            <w:tcW w:w="1854" w:type="pct"/>
            <w:shd w:val="clear" w:color="auto" w:fill="auto"/>
            <w:noWrap/>
            <w:vAlign w:val="center"/>
            <w:hideMark/>
          </w:tcPr>
          <w:p w:rsidR="009846CC" w:rsidRPr="009F7B0F" w:rsidRDefault="009846CC" w:rsidP="00E16426">
            <w:pPr>
              <w:spacing w:line="240" w:lineRule="auto"/>
              <w:jc w:val="left"/>
              <w:rPr>
                <w:color w:val="000000"/>
                <w:sz w:val="22"/>
                <w:szCs w:val="22"/>
                <w:lang w:val="en-IN" w:eastAsia="en-IN"/>
              </w:rPr>
            </w:pPr>
            <w:r w:rsidRPr="009F7B0F">
              <w:rPr>
                <w:color w:val="000000"/>
                <w:sz w:val="22"/>
                <w:szCs w:val="22"/>
                <w:lang w:val="en-IN" w:eastAsia="en-IN"/>
              </w:rPr>
              <w:t>Street lighting</w:t>
            </w:r>
          </w:p>
        </w:tc>
        <w:tc>
          <w:tcPr>
            <w:tcW w:w="724" w:type="pct"/>
            <w:shd w:val="clear" w:color="auto" w:fill="auto"/>
            <w:noWrap/>
            <w:vAlign w:val="center"/>
            <w:hideMark/>
          </w:tcPr>
          <w:p w:rsidR="009846CC" w:rsidRPr="009F7B0F" w:rsidRDefault="009846CC" w:rsidP="00735CAB">
            <w:pPr>
              <w:spacing w:line="240" w:lineRule="auto"/>
              <w:jc w:val="right"/>
              <w:rPr>
                <w:sz w:val="22"/>
                <w:szCs w:val="22"/>
                <w:lang w:val="en-IN" w:eastAsia="en-IN"/>
              </w:rPr>
            </w:pPr>
            <w:r w:rsidRPr="009F7B0F">
              <w:rPr>
                <w:sz w:val="22"/>
                <w:szCs w:val="22"/>
                <w:lang w:val="en-IN" w:eastAsia="en-IN"/>
              </w:rPr>
              <w:t>50,664</w:t>
            </w:r>
          </w:p>
        </w:tc>
        <w:tc>
          <w:tcPr>
            <w:tcW w:w="807" w:type="pct"/>
            <w:shd w:val="clear" w:color="auto" w:fill="auto"/>
            <w:noWrap/>
            <w:vAlign w:val="center"/>
            <w:hideMark/>
          </w:tcPr>
          <w:p w:rsidR="009846CC" w:rsidRPr="009F7B0F" w:rsidRDefault="009846CC" w:rsidP="00735CAB">
            <w:pPr>
              <w:spacing w:line="240" w:lineRule="auto"/>
              <w:jc w:val="right"/>
              <w:rPr>
                <w:color w:val="000000"/>
                <w:sz w:val="22"/>
                <w:szCs w:val="22"/>
                <w:lang w:val="en-IN" w:eastAsia="en-IN"/>
              </w:rPr>
            </w:pPr>
            <w:r w:rsidRPr="009F7B0F">
              <w:rPr>
                <w:color w:val="000000"/>
                <w:sz w:val="22"/>
                <w:szCs w:val="22"/>
                <w:lang w:val="en-IN" w:eastAsia="en-IN"/>
              </w:rPr>
              <w:t>50,895</w:t>
            </w:r>
          </w:p>
        </w:tc>
        <w:tc>
          <w:tcPr>
            <w:tcW w:w="808" w:type="pct"/>
            <w:shd w:val="clear" w:color="auto" w:fill="auto"/>
            <w:noWrap/>
            <w:vAlign w:val="center"/>
            <w:hideMark/>
          </w:tcPr>
          <w:p w:rsidR="009846CC" w:rsidRPr="009F7B0F" w:rsidRDefault="009846CC" w:rsidP="00735CAB">
            <w:pPr>
              <w:spacing w:line="240" w:lineRule="auto"/>
              <w:jc w:val="right"/>
              <w:rPr>
                <w:color w:val="000000"/>
                <w:sz w:val="22"/>
                <w:szCs w:val="22"/>
                <w:lang w:val="en-IN" w:eastAsia="en-IN"/>
              </w:rPr>
            </w:pPr>
            <w:r w:rsidRPr="009F7B0F">
              <w:rPr>
                <w:color w:val="000000"/>
                <w:sz w:val="22"/>
                <w:szCs w:val="22"/>
                <w:lang w:val="en-IN" w:eastAsia="en-IN"/>
              </w:rPr>
              <w:t>51,127</w:t>
            </w:r>
          </w:p>
        </w:tc>
        <w:tc>
          <w:tcPr>
            <w:tcW w:w="807" w:type="pct"/>
            <w:shd w:val="clear" w:color="auto" w:fill="auto"/>
            <w:noWrap/>
            <w:vAlign w:val="center"/>
            <w:hideMark/>
          </w:tcPr>
          <w:p w:rsidR="009846CC" w:rsidRPr="009F7B0F" w:rsidRDefault="009846CC" w:rsidP="00735CAB">
            <w:pPr>
              <w:spacing w:line="240" w:lineRule="auto"/>
              <w:jc w:val="right"/>
              <w:rPr>
                <w:color w:val="000000"/>
                <w:sz w:val="22"/>
                <w:szCs w:val="22"/>
                <w:lang w:val="en-IN" w:eastAsia="en-IN"/>
              </w:rPr>
            </w:pPr>
            <w:r w:rsidRPr="009F7B0F">
              <w:rPr>
                <w:color w:val="000000"/>
                <w:sz w:val="22"/>
                <w:szCs w:val="22"/>
                <w:lang w:val="en-IN" w:eastAsia="en-IN"/>
              </w:rPr>
              <w:t>51,361</w:t>
            </w:r>
          </w:p>
        </w:tc>
      </w:tr>
      <w:tr w:rsidR="009846CC" w:rsidRPr="009F7B0F" w:rsidTr="009A6247">
        <w:trPr>
          <w:trHeight w:val="300"/>
        </w:trPr>
        <w:tc>
          <w:tcPr>
            <w:tcW w:w="1854" w:type="pct"/>
            <w:shd w:val="clear" w:color="auto" w:fill="auto"/>
            <w:noWrap/>
            <w:vAlign w:val="center"/>
            <w:hideMark/>
          </w:tcPr>
          <w:p w:rsidR="009846CC" w:rsidRPr="009F7B0F" w:rsidRDefault="009846CC" w:rsidP="00E16426">
            <w:pPr>
              <w:spacing w:line="240" w:lineRule="auto"/>
              <w:jc w:val="left"/>
              <w:rPr>
                <w:color w:val="000000"/>
                <w:sz w:val="22"/>
                <w:szCs w:val="22"/>
                <w:lang w:val="en-IN" w:eastAsia="en-IN"/>
              </w:rPr>
            </w:pPr>
            <w:r w:rsidRPr="009F7B0F">
              <w:rPr>
                <w:color w:val="000000"/>
                <w:sz w:val="22"/>
                <w:szCs w:val="22"/>
                <w:lang w:val="en-IN" w:eastAsia="en-IN"/>
              </w:rPr>
              <w:t>LT Industrial+Water tank</w:t>
            </w:r>
          </w:p>
        </w:tc>
        <w:tc>
          <w:tcPr>
            <w:tcW w:w="724" w:type="pct"/>
            <w:shd w:val="clear" w:color="auto" w:fill="auto"/>
            <w:noWrap/>
            <w:vAlign w:val="center"/>
            <w:hideMark/>
          </w:tcPr>
          <w:p w:rsidR="009846CC" w:rsidRPr="009F7B0F" w:rsidRDefault="009846CC" w:rsidP="00735CAB">
            <w:pPr>
              <w:spacing w:line="240" w:lineRule="auto"/>
              <w:jc w:val="right"/>
              <w:rPr>
                <w:sz w:val="22"/>
                <w:szCs w:val="22"/>
                <w:lang w:val="en-IN" w:eastAsia="en-IN"/>
              </w:rPr>
            </w:pPr>
            <w:r w:rsidRPr="009F7B0F">
              <w:rPr>
                <w:sz w:val="22"/>
                <w:szCs w:val="22"/>
                <w:lang w:val="en-IN" w:eastAsia="en-IN"/>
              </w:rPr>
              <w:t>6,753</w:t>
            </w:r>
          </w:p>
        </w:tc>
        <w:tc>
          <w:tcPr>
            <w:tcW w:w="807" w:type="pct"/>
            <w:shd w:val="clear" w:color="auto" w:fill="auto"/>
            <w:noWrap/>
            <w:vAlign w:val="center"/>
            <w:hideMark/>
          </w:tcPr>
          <w:p w:rsidR="009846CC" w:rsidRPr="009F7B0F" w:rsidRDefault="009846CC" w:rsidP="00735CAB">
            <w:pPr>
              <w:spacing w:line="240" w:lineRule="auto"/>
              <w:jc w:val="right"/>
              <w:rPr>
                <w:color w:val="000000"/>
                <w:sz w:val="22"/>
                <w:szCs w:val="22"/>
                <w:lang w:val="en-IN" w:eastAsia="en-IN"/>
              </w:rPr>
            </w:pPr>
            <w:r w:rsidRPr="009F7B0F">
              <w:rPr>
                <w:color w:val="000000"/>
                <w:sz w:val="22"/>
                <w:szCs w:val="22"/>
                <w:lang w:val="en-IN" w:eastAsia="en-IN"/>
              </w:rPr>
              <w:t>6,839</w:t>
            </w:r>
          </w:p>
        </w:tc>
        <w:tc>
          <w:tcPr>
            <w:tcW w:w="808" w:type="pct"/>
            <w:shd w:val="clear" w:color="auto" w:fill="auto"/>
            <w:noWrap/>
            <w:vAlign w:val="center"/>
            <w:hideMark/>
          </w:tcPr>
          <w:p w:rsidR="009846CC" w:rsidRPr="009F7B0F" w:rsidRDefault="009846CC" w:rsidP="00735CAB">
            <w:pPr>
              <w:spacing w:line="240" w:lineRule="auto"/>
              <w:jc w:val="right"/>
              <w:rPr>
                <w:color w:val="000000"/>
                <w:sz w:val="22"/>
                <w:szCs w:val="22"/>
                <w:lang w:val="en-IN" w:eastAsia="en-IN"/>
              </w:rPr>
            </w:pPr>
            <w:r w:rsidRPr="009F7B0F">
              <w:rPr>
                <w:color w:val="000000"/>
                <w:sz w:val="22"/>
                <w:szCs w:val="22"/>
                <w:lang w:val="en-IN" w:eastAsia="en-IN"/>
              </w:rPr>
              <w:t>6,927</w:t>
            </w:r>
          </w:p>
        </w:tc>
        <w:tc>
          <w:tcPr>
            <w:tcW w:w="807" w:type="pct"/>
            <w:shd w:val="clear" w:color="auto" w:fill="auto"/>
            <w:noWrap/>
            <w:vAlign w:val="center"/>
            <w:hideMark/>
          </w:tcPr>
          <w:p w:rsidR="009846CC" w:rsidRPr="009F7B0F" w:rsidRDefault="009846CC" w:rsidP="00735CAB">
            <w:pPr>
              <w:spacing w:line="240" w:lineRule="auto"/>
              <w:jc w:val="right"/>
              <w:rPr>
                <w:color w:val="000000"/>
                <w:sz w:val="22"/>
                <w:szCs w:val="22"/>
                <w:lang w:val="en-IN" w:eastAsia="en-IN"/>
              </w:rPr>
            </w:pPr>
            <w:r w:rsidRPr="009F7B0F">
              <w:rPr>
                <w:color w:val="000000"/>
                <w:sz w:val="22"/>
                <w:szCs w:val="22"/>
                <w:lang w:val="en-IN" w:eastAsia="en-IN"/>
              </w:rPr>
              <w:t>7,015</w:t>
            </w:r>
          </w:p>
        </w:tc>
      </w:tr>
      <w:tr w:rsidR="009846CC" w:rsidRPr="009F7B0F" w:rsidTr="009A6247">
        <w:trPr>
          <w:trHeight w:val="300"/>
        </w:trPr>
        <w:tc>
          <w:tcPr>
            <w:tcW w:w="1854" w:type="pct"/>
            <w:shd w:val="clear" w:color="auto" w:fill="auto"/>
            <w:noWrap/>
            <w:vAlign w:val="center"/>
            <w:hideMark/>
          </w:tcPr>
          <w:p w:rsidR="009846CC" w:rsidRPr="009F7B0F" w:rsidRDefault="009846CC" w:rsidP="00E16426">
            <w:pPr>
              <w:spacing w:line="240" w:lineRule="auto"/>
              <w:jc w:val="left"/>
              <w:rPr>
                <w:color w:val="000000"/>
                <w:sz w:val="22"/>
                <w:szCs w:val="22"/>
                <w:lang w:val="en-IN" w:eastAsia="en-IN"/>
              </w:rPr>
            </w:pPr>
            <w:r w:rsidRPr="004E3080">
              <w:rPr>
                <w:color w:val="000000"/>
                <w:sz w:val="22"/>
                <w:szCs w:val="22"/>
                <w:lang w:val="en-IN" w:eastAsia="en-IN"/>
              </w:rPr>
              <w:t>HT 1</w:t>
            </w:r>
          </w:p>
        </w:tc>
        <w:tc>
          <w:tcPr>
            <w:tcW w:w="724" w:type="pct"/>
            <w:shd w:val="clear" w:color="auto" w:fill="auto"/>
            <w:noWrap/>
            <w:vAlign w:val="center"/>
            <w:hideMark/>
          </w:tcPr>
          <w:p w:rsidR="009846CC" w:rsidRPr="009F7B0F" w:rsidRDefault="009846CC" w:rsidP="00735CAB">
            <w:pPr>
              <w:spacing w:line="240" w:lineRule="auto"/>
              <w:jc w:val="right"/>
              <w:rPr>
                <w:sz w:val="22"/>
                <w:szCs w:val="22"/>
                <w:lang w:val="en-IN" w:eastAsia="en-IN"/>
              </w:rPr>
            </w:pPr>
            <w:r w:rsidRPr="009F7B0F">
              <w:rPr>
                <w:sz w:val="22"/>
                <w:szCs w:val="22"/>
                <w:lang w:val="en-IN" w:eastAsia="en-IN"/>
              </w:rPr>
              <w:t>463</w:t>
            </w:r>
          </w:p>
        </w:tc>
        <w:tc>
          <w:tcPr>
            <w:tcW w:w="807" w:type="pct"/>
            <w:shd w:val="clear" w:color="auto" w:fill="auto"/>
            <w:noWrap/>
            <w:vAlign w:val="center"/>
            <w:hideMark/>
          </w:tcPr>
          <w:p w:rsidR="009846CC" w:rsidRPr="009F7B0F" w:rsidRDefault="009846CC" w:rsidP="00735CAB">
            <w:pPr>
              <w:spacing w:line="240" w:lineRule="auto"/>
              <w:jc w:val="right"/>
              <w:rPr>
                <w:color w:val="000000"/>
                <w:sz w:val="22"/>
                <w:szCs w:val="22"/>
                <w:lang w:val="en-IN" w:eastAsia="en-IN"/>
              </w:rPr>
            </w:pPr>
            <w:r w:rsidRPr="009F7B0F">
              <w:rPr>
                <w:color w:val="000000"/>
                <w:sz w:val="22"/>
                <w:szCs w:val="22"/>
                <w:lang w:val="en-IN" w:eastAsia="en-IN"/>
              </w:rPr>
              <w:t>474</w:t>
            </w:r>
          </w:p>
        </w:tc>
        <w:tc>
          <w:tcPr>
            <w:tcW w:w="808" w:type="pct"/>
            <w:shd w:val="clear" w:color="auto" w:fill="auto"/>
            <w:noWrap/>
            <w:vAlign w:val="center"/>
            <w:hideMark/>
          </w:tcPr>
          <w:p w:rsidR="009846CC" w:rsidRPr="009F7B0F" w:rsidRDefault="009846CC" w:rsidP="00735CAB">
            <w:pPr>
              <w:spacing w:line="240" w:lineRule="auto"/>
              <w:jc w:val="right"/>
              <w:rPr>
                <w:color w:val="000000"/>
                <w:sz w:val="22"/>
                <w:szCs w:val="22"/>
                <w:lang w:val="en-IN" w:eastAsia="en-IN"/>
              </w:rPr>
            </w:pPr>
            <w:r w:rsidRPr="009F7B0F">
              <w:rPr>
                <w:color w:val="000000"/>
                <w:sz w:val="22"/>
                <w:szCs w:val="22"/>
                <w:lang w:val="en-IN" w:eastAsia="en-IN"/>
              </w:rPr>
              <w:t>485</w:t>
            </w:r>
          </w:p>
        </w:tc>
        <w:tc>
          <w:tcPr>
            <w:tcW w:w="807" w:type="pct"/>
            <w:shd w:val="clear" w:color="auto" w:fill="auto"/>
            <w:noWrap/>
            <w:vAlign w:val="center"/>
            <w:hideMark/>
          </w:tcPr>
          <w:p w:rsidR="009846CC" w:rsidRPr="009F7B0F" w:rsidRDefault="009846CC" w:rsidP="00735CAB">
            <w:pPr>
              <w:spacing w:line="240" w:lineRule="auto"/>
              <w:jc w:val="right"/>
              <w:rPr>
                <w:color w:val="000000"/>
                <w:sz w:val="22"/>
                <w:szCs w:val="22"/>
                <w:lang w:val="en-IN" w:eastAsia="en-IN"/>
              </w:rPr>
            </w:pPr>
            <w:r w:rsidRPr="009F7B0F">
              <w:rPr>
                <w:color w:val="000000"/>
                <w:sz w:val="22"/>
                <w:szCs w:val="22"/>
                <w:lang w:val="en-IN" w:eastAsia="en-IN"/>
              </w:rPr>
              <w:t>496</w:t>
            </w:r>
          </w:p>
        </w:tc>
      </w:tr>
      <w:tr w:rsidR="009846CC" w:rsidRPr="009F7B0F" w:rsidTr="009A6247">
        <w:trPr>
          <w:trHeight w:val="300"/>
        </w:trPr>
        <w:tc>
          <w:tcPr>
            <w:tcW w:w="1854" w:type="pct"/>
            <w:shd w:val="clear" w:color="auto" w:fill="auto"/>
            <w:noWrap/>
            <w:vAlign w:val="center"/>
            <w:hideMark/>
          </w:tcPr>
          <w:p w:rsidR="009846CC" w:rsidRPr="009F7B0F" w:rsidRDefault="009846CC" w:rsidP="00E16426">
            <w:pPr>
              <w:spacing w:line="240" w:lineRule="auto"/>
              <w:jc w:val="left"/>
              <w:rPr>
                <w:color w:val="000000"/>
                <w:sz w:val="22"/>
                <w:szCs w:val="22"/>
                <w:lang w:val="en-IN" w:eastAsia="en-IN"/>
              </w:rPr>
            </w:pPr>
            <w:r w:rsidRPr="004E3080">
              <w:rPr>
                <w:color w:val="000000"/>
                <w:sz w:val="22"/>
                <w:szCs w:val="22"/>
                <w:lang w:val="en-IN" w:eastAsia="en-IN"/>
              </w:rPr>
              <w:t>HT 2 - Government &amp; water tank</w:t>
            </w:r>
          </w:p>
        </w:tc>
        <w:tc>
          <w:tcPr>
            <w:tcW w:w="724" w:type="pct"/>
            <w:shd w:val="clear" w:color="auto" w:fill="auto"/>
            <w:noWrap/>
            <w:vAlign w:val="center"/>
            <w:hideMark/>
          </w:tcPr>
          <w:p w:rsidR="009846CC" w:rsidRPr="009F7B0F" w:rsidRDefault="009846CC" w:rsidP="00735CAB">
            <w:pPr>
              <w:spacing w:line="240" w:lineRule="auto"/>
              <w:jc w:val="right"/>
              <w:rPr>
                <w:sz w:val="22"/>
                <w:szCs w:val="22"/>
                <w:lang w:val="en-IN" w:eastAsia="en-IN"/>
              </w:rPr>
            </w:pPr>
            <w:r w:rsidRPr="009F7B0F">
              <w:rPr>
                <w:sz w:val="22"/>
                <w:szCs w:val="22"/>
                <w:lang w:val="en-IN" w:eastAsia="en-IN"/>
              </w:rPr>
              <w:t>64</w:t>
            </w:r>
          </w:p>
        </w:tc>
        <w:tc>
          <w:tcPr>
            <w:tcW w:w="807" w:type="pct"/>
            <w:shd w:val="clear" w:color="auto" w:fill="auto"/>
            <w:noWrap/>
            <w:vAlign w:val="center"/>
            <w:hideMark/>
          </w:tcPr>
          <w:p w:rsidR="009846CC" w:rsidRPr="009F7B0F" w:rsidRDefault="009846CC" w:rsidP="00735CAB">
            <w:pPr>
              <w:spacing w:line="240" w:lineRule="auto"/>
              <w:jc w:val="right"/>
              <w:rPr>
                <w:color w:val="000000"/>
                <w:sz w:val="22"/>
                <w:szCs w:val="22"/>
                <w:lang w:val="en-IN" w:eastAsia="en-IN"/>
              </w:rPr>
            </w:pPr>
            <w:r w:rsidRPr="009F7B0F">
              <w:rPr>
                <w:color w:val="000000"/>
                <w:sz w:val="22"/>
                <w:szCs w:val="22"/>
                <w:lang w:val="en-IN" w:eastAsia="en-IN"/>
              </w:rPr>
              <w:t>68</w:t>
            </w:r>
          </w:p>
        </w:tc>
        <w:tc>
          <w:tcPr>
            <w:tcW w:w="808" w:type="pct"/>
            <w:shd w:val="clear" w:color="auto" w:fill="auto"/>
            <w:noWrap/>
            <w:vAlign w:val="center"/>
            <w:hideMark/>
          </w:tcPr>
          <w:p w:rsidR="009846CC" w:rsidRPr="009F7B0F" w:rsidRDefault="009846CC" w:rsidP="00735CAB">
            <w:pPr>
              <w:spacing w:line="240" w:lineRule="auto"/>
              <w:jc w:val="right"/>
              <w:rPr>
                <w:color w:val="000000"/>
                <w:sz w:val="22"/>
                <w:szCs w:val="22"/>
                <w:lang w:val="en-IN" w:eastAsia="en-IN"/>
              </w:rPr>
            </w:pPr>
            <w:r w:rsidRPr="009F7B0F">
              <w:rPr>
                <w:color w:val="000000"/>
                <w:sz w:val="22"/>
                <w:szCs w:val="22"/>
                <w:lang w:val="en-IN" w:eastAsia="en-IN"/>
              </w:rPr>
              <w:t>72</w:t>
            </w:r>
          </w:p>
        </w:tc>
        <w:tc>
          <w:tcPr>
            <w:tcW w:w="807" w:type="pct"/>
            <w:shd w:val="clear" w:color="auto" w:fill="auto"/>
            <w:noWrap/>
            <w:vAlign w:val="center"/>
            <w:hideMark/>
          </w:tcPr>
          <w:p w:rsidR="009846CC" w:rsidRPr="009F7B0F" w:rsidRDefault="009846CC" w:rsidP="00735CAB">
            <w:pPr>
              <w:spacing w:line="240" w:lineRule="auto"/>
              <w:jc w:val="right"/>
              <w:rPr>
                <w:color w:val="000000"/>
                <w:sz w:val="22"/>
                <w:szCs w:val="22"/>
                <w:lang w:val="en-IN" w:eastAsia="en-IN"/>
              </w:rPr>
            </w:pPr>
            <w:r w:rsidRPr="009F7B0F">
              <w:rPr>
                <w:color w:val="000000"/>
                <w:sz w:val="22"/>
                <w:szCs w:val="22"/>
                <w:lang w:val="en-IN" w:eastAsia="en-IN"/>
              </w:rPr>
              <w:t>76</w:t>
            </w:r>
          </w:p>
        </w:tc>
      </w:tr>
      <w:tr w:rsidR="009846CC" w:rsidRPr="009F7B0F" w:rsidTr="009A6247">
        <w:trPr>
          <w:trHeight w:val="300"/>
        </w:trPr>
        <w:tc>
          <w:tcPr>
            <w:tcW w:w="1854" w:type="pct"/>
            <w:shd w:val="clear" w:color="auto" w:fill="auto"/>
            <w:noWrap/>
            <w:vAlign w:val="center"/>
            <w:hideMark/>
          </w:tcPr>
          <w:p w:rsidR="009846CC" w:rsidRPr="009F7B0F" w:rsidRDefault="009846CC" w:rsidP="00E16426">
            <w:pPr>
              <w:spacing w:line="240" w:lineRule="auto"/>
              <w:jc w:val="left"/>
              <w:rPr>
                <w:color w:val="000000"/>
                <w:sz w:val="22"/>
                <w:szCs w:val="22"/>
                <w:lang w:val="en-IN" w:eastAsia="en-IN"/>
              </w:rPr>
            </w:pPr>
            <w:r w:rsidRPr="004E3080">
              <w:rPr>
                <w:color w:val="000000"/>
                <w:sz w:val="22"/>
                <w:szCs w:val="22"/>
                <w:lang w:val="en-IN" w:eastAsia="en-IN"/>
              </w:rPr>
              <w:t>HT 3 – EHT</w:t>
            </w:r>
          </w:p>
        </w:tc>
        <w:tc>
          <w:tcPr>
            <w:tcW w:w="724" w:type="pct"/>
            <w:shd w:val="clear" w:color="auto" w:fill="auto"/>
            <w:noWrap/>
            <w:vAlign w:val="center"/>
            <w:hideMark/>
          </w:tcPr>
          <w:p w:rsidR="009846CC" w:rsidRPr="009F7B0F" w:rsidRDefault="009846CC" w:rsidP="00735CAB">
            <w:pPr>
              <w:spacing w:line="240" w:lineRule="auto"/>
              <w:jc w:val="right"/>
              <w:rPr>
                <w:sz w:val="22"/>
                <w:szCs w:val="22"/>
                <w:lang w:val="en-IN" w:eastAsia="en-IN"/>
              </w:rPr>
            </w:pPr>
            <w:r w:rsidRPr="009F7B0F">
              <w:rPr>
                <w:sz w:val="22"/>
                <w:szCs w:val="22"/>
                <w:lang w:val="en-IN" w:eastAsia="en-IN"/>
              </w:rPr>
              <w:t>7</w:t>
            </w:r>
          </w:p>
        </w:tc>
        <w:tc>
          <w:tcPr>
            <w:tcW w:w="807" w:type="pct"/>
            <w:shd w:val="clear" w:color="auto" w:fill="auto"/>
            <w:noWrap/>
            <w:vAlign w:val="center"/>
            <w:hideMark/>
          </w:tcPr>
          <w:p w:rsidR="009846CC" w:rsidRPr="009F7B0F" w:rsidRDefault="009846CC" w:rsidP="00735CAB">
            <w:pPr>
              <w:spacing w:line="240" w:lineRule="auto"/>
              <w:jc w:val="right"/>
              <w:rPr>
                <w:color w:val="000000"/>
                <w:sz w:val="22"/>
                <w:szCs w:val="22"/>
                <w:lang w:val="en-IN" w:eastAsia="en-IN"/>
              </w:rPr>
            </w:pPr>
            <w:r w:rsidRPr="009F7B0F">
              <w:rPr>
                <w:color w:val="000000"/>
                <w:sz w:val="22"/>
                <w:szCs w:val="22"/>
                <w:lang w:val="en-IN" w:eastAsia="en-IN"/>
              </w:rPr>
              <w:t>7</w:t>
            </w:r>
          </w:p>
        </w:tc>
        <w:tc>
          <w:tcPr>
            <w:tcW w:w="808" w:type="pct"/>
            <w:shd w:val="clear" w:color="auto" w:fill="auto"/>
            <w:noWrap/>
            <w:vAlign w:val="center"/>
            <w:hideMark/>
          </w:tcPr>
          <w:p w:rsidR="009846CC" w:rsidRPr="009F7B0F" w:rsidRDefault="009846CC" w:rsidP="00735CAB">
            <w:pPr>
              <w:spacing w:line="240" w:lineRule="auto"/>
              <w:jc w:val="right"/>
              <w:rPr>
                <w:color w:val="000000"/>
                <w:sz w:val="22"/>
                <w:szCs w:val="22"/>
                <w:lang w:val="en-IN" w:eastAsia="en-IN"/>
              </w:rPr>
            </w:pPr>
            <w:r w:rsidRPr="009F7B0F">
              <w:rPr>
                <w:color w:val="000000"/>
                <w:sz w:val="22"/>
                <w:szCs w:val="22"/>
                <w:lang w:val="en-IN" w:eastAsia="en-IN"/>
              </w:rPr>
              <w:t>7</w:t>
            </w:r>
          </w:p>
        </w:tc>
        <w:tc>
          <w:tcPr>
            <w:tcW w:w="807" w:type="pct"/>
            <w:shd w:val="clear" w:color="auto" w:fill="auto"/>
            <w:noWrap/>
            <w:vAlign w:val="center"/>
            <w:hideMark/>
          </w:tcPr>
          <w:p w:rsidR="009846CC" w:rsidRPr="009F7B0F" w:rsidRDefault="009846CC" w:rsidP="00735CAB">
            <w:pPr>
              <w:spacing w:line="240" w:lineRule="auto"/>
              <w:jc w:val="right"/>
              <w:rPr>
                <w:color w:val="000000"/>
                <w:sz w:val="22"/>
                <w:szCs w:val="22"/>
                <w:lang w:val="en-IN" w:eastAsia="en-IN"/>
              </w:rPr>
            </w:pPr>
            <w:r w:rsidRPr="009F7B0F">
              <w:rPr>
                <w:color w:val="000000"/>
                <w:sz w:val="22"/>
                <w:szCs w:val="22"/>
                <w:lang w:val="en-IN" w:eastAsia="en-IN"/>
              </w:rPr>
              <w:t>7</w:t>
            </w:r>
          </w:p>
        </w:tc>
      </w:tr>
      <w:tr w:rsidR="009846CC" w:rsidRPr="009F7B0F" w:rsidTr="009A6247">
        <w:trPr>
          <w:trHeight w:val="300"/>
        </w:trPr>
        <w:tc>
          <w:tcPr>
            <w:tcW w:w="1854" w:type="pct"/>
            <w:shd w:val="clear" w:color="000000" w:fill="44546A"/>
            <w:noWrap/>
            <w:vAlign w:val="center"/>
            <w:hideMark/>
          </w:tcPr>
          <w:p w:rsidR="009846CC" w:rsidRPr="009F7B0F" w:rsidRDefault="009846CC" w:rsidP="00E16426">
            <w:pPr>
              <w:spacing w:line="240" w:lineRule="auto"/>
              <w:jc w:val="left"/>
              <w:rPr>
                <w:b/>
                <w:bCs/>
                <w:color w:val="FFFFFF"/>
                <w:sz w:val="22"/>
                <w:szCs w:val="22"/>
                <w:lang w:val="en-IN" w:eastAsia="en-IN"/>
              </w:rPr>
            </w:pPr>
            <w:r w:rsidRPr="009F7B0F">
              <w:rPr>
                <w:b/>
                <w:bCs/>
                <w:color w:val="FFFFFF"/>
                <w:sz w:val="22"/>
                <w:szCs w:val="22"/>
                <w:lang w:val="en-IN" w:eastAsia="en-IN"/>
              </w:rPr>
              <w:t> Total</w:t>
            </w:r>
          </w:p>
        </w:tc>
        <w:tc>
          <w:tcPr>
            <w:tcW w:w="724" w:type="pct"/>
            <w:shd w:val="clear" w:color="000000" w:fill="44546A"/>
            <w:noWrap/>
            <w:vAlign w:val="center"/>
            <w:hideMark/>
          </w:tcPr>
          <w:p w:rsidR="009846CC" w:rsidRPr="009F7B0F" w:rsidRDefault="009846CC" w:rsidP="00735CAB">
            <w:pPr>
              <w:spacing w:line="240" w:lineRule="auto"/>
              <w:jc w:val="right"/>
              <w:rPr>
                <w:b/>
                <w:bCs/>
                <w:color w:val="FFFFFF"/>
                <w:sz w:val="22"/>
                <w:szCs w:val="22"/>
                <w:lang w:val="en-IN" w:eastAsia="en-IN"/>
              </w:rPr>
            </w:pPr>
            <w:r w:rsidRPr="009F7B0F">
              <w:rPr>
                <w:b/>
                <w:bCs/>
                <w:color w:val="FFFFFF"/>
                <w:sz w:val="22"/>
                <w:szCs w:val="22"/>
                <w:lang w:val="en-IN" w:eastAsia="en-IN"/>
              </w:rPr>
              <w:t>497667</w:t>
            </w:r>
          </w:p>
        </w:tc>
        <w:tc>
          <w:tcPr>
            <w:tcW w:w="807" w:type="pct"/>
            <w:shd w:val="clear" w:color="000000" w:fill="44546A"/>
            <w:noWrap/>
            <w:vAlign w:val="center"/>
            <w:hideMark/>
          </w:tcPr>
          <w:p w:rsidR="009846CC" w:rsidRPr="009F7B0F" w:rsidRDefault="009846CC" w:rsidP="00735CAB">
            <w:pPr>
              <w:spacing w:line="240" w:lineRule="auto"/>
              <w:jc w:val="right"/>
              <w:rPr>
                <w:b/>
                <w:bCs/>
                <w:color w:val="FFFFFF"/>
                <w:sz w:val="22"/>
                <w:szCs w:val="22"/>
                <w:lang w:val="en-IN" w:eastAsia="en-IN"/>
              </w:rPr>
            </w:pPr>
            <w:r w:rsidRPr="009F7B0F">
              <w:rPr>
                <w:b/>
                <w:bCs/>
                <w:color w:val="FFFFFF"/>
                <w:sz w:val="22"/>
                <w:szCs w:val="22"/>
                <w:lang w:val="en-IN" w:eastAsia="en-IN"/>
              </w:rPr>
              <w:t>516227</w:t>
            </w:r>
          </w:p>
        </w:tc>
        <w:tc>
          <w:tcPr>
            <w:tcW w:w="808" w:type="pct"/>
            <w:shd w:val="clear" w:color="000000" w:fill="44546A"/>
            <w:noWrap/>
            <w:vAlign w:val="center"/>
            <w:hideMark/>
          </w:tcPr>
          <w:p w:rsidR="009846CC" w:rsidRPr="009F7B0F" w:rsidRDefault="009846CC" w:rsidP="00735CAB">
            <w:pPr>
              <w:spacing w:line="240" w:lineRule="auto"/>
              <w:jc w:val="right"/>
              <w:rPr>
                <w:b/>
                <w:bCs/>
                <w:color w:val="FFFFFF"/>
                <w:sz w:val="22"/>
                <w:szCs w:val="22"/>
                <w:lang w:val="en-IN" w:eastAsia="en-IN"/>
              </w:rPr>
            </w:pPr>
            <w:r w:rsidRPr="009F7B0F">
              <w:rPr>
                <w:b/>
                <w:bCs/>
                <w:color w:val="FFFFFF"/>
                <w:sz w:val="22"/>
                <w:szCs w:val="22"/>
                <w:lang w:val="en-IN" w:eastAsia="en-IN"/>
              </w:rPr>
              <w:t>535623</w:t>
            </w:r>
          </w:p>
        </w:tc>
        <w:tc>
          <w:tcPr>
            <w:tcW w:w="807" w:type="pct"/>
            <w:shd w:val="clear" w:color="000000" w:fill="44546A"/>
            <w:noWrap/>
            <w:vAlign w:val="center"/>
            <w:hideMark/>
          </w:tcPr>
          <w:p w:rsidR="009846CC" w:rsidRPr="009F7B0F" w:rsidRDefault="009846CC" w:rsidP="00735CAB">
            <w:pPr>
              <w:spacing w:line="240" w:lineRule="auto"/>
              <w:jc w:val="right"/>
              <w:rPr>
                <w:b/>
                <w:bCs/>
                <w:color w:val="FFFFFF"/>
                <w:sz w:val="22"/>
                <w:szCs w:val="22"/>
                <w:lang w:val="en-IN" w:eastAsia="en-IN"/>
              </w:rPr>
            </w:pPr>
            <w:r w:rsidRPr="009F7B0F">
              <w:rPr>
                <w:b/>
                <w:bCs/>
                <w:color w:val="FFFFFF"/>
                <w:sz w:val="22"/>
                <w:szCs w:val="22"/>
                <w:lang w:val="en-IN" w:eastAsia="en-IN"/>
              </w:rPr>
              <w:t>555894</w:t>
            </w:r>
          </w:p>
        </w:tc>
      </w:tr>
    </w:tbl>
    <w:p w:rsidR="009846CC" w:rsidRPr="00843827" w:rsidRDefault="009846CC" w:rsidP="009846CC">
      <w:pPr>
        <w:jc w:val="center"/>
      </w:pPr>
    </w:p>
    <w:p w:rsidR="009846CC" w:rsidRDefault="009846CC" w:rsidP="00061AA6">
      <w:pPr>
        <w:pStyle w:val="Caption"/>
      </w:pPr>
      <w:bookmarkStart w:id="101" w:name="_Toc426377588"/>
      <w:bookmarkStart w:id="102" w:name="_Toc523719573"/>
      <w:r>
        <w:t xml:space="preserve">Table </w:t>
      </w:r>
      <w:r w:rsidR="00140E1B">
        <w:fldChar w:fldCharType="begin"/>
      </w:r>
      <w:r>
        <w:instrText xml:space="preserve"> SEQ Table \* ARABIC </w:instrText>
      </w:r>
      <w:r w:rsidR="00140E1B">
        <w:fldChar w:fldCharType="separate"/>
      </w:r>
      <w:r w:rsidR="004B7EE5">
        <w:rPr>
          <w:noProof/>
        </w:rPr>
        <w:t>14</w:t>
      </w:r>
      <w:r w:rsidR="00140E1B">
        <w:rPr>
          <w:noProof/>
        </w:rPr>
        <w:fldChar w:fldCharType="end"/>
      </w:r>
      <w:r>
        <w:t>: Projection of Connected Load during the MYT Control Period</w:t>
      </w:r>
      <w:bookmarkEnd w:id="101"/>
      <w:bookmarkEnd w:id="102"/>
    </w:p>
    <w:tbl>
      <w:tblPr>
        <w:tblW w:w="4889" w:type="pct"/>
        <w:tblLook w:val="04A0"/>
      </w:tblPr>
      <w:tblGrid>
        <w:gridCol w:w="3374"/>
        <w:gridCol w:w="1417"/>
        <w:gridCol w:w="1320"/>
        <w:gridCol w:w="1513"/>
        <w:gridCol w:w="1416"/>
      </w:tblGrid>
      <w:tr w:rsidR="009846CC" w:rsidRPr="009F7B0F" w:rsidTr="009A6247">
        <w:trPr>
          <w:trHeight w:val="300"/>
        </w:trPr>
        <w:tc>
          <w:tcPr>
            <w:tcW w:w="1866" w:type="pct"/>
            <w:tcBorders>
              <w:top w:val="single" w:sz="4" w:space="0" w:color="auto"/>
              <w:left w:val="single" w:sz="4" w:space="0" w:color="auto"/>
              <w:bottom w:val="single" w:sz="4" w:space="0" w:color="auto"/>
              <w:right w:val="single" w:sz="4" w:space="0" w:color="auto"/>
            </w:tcBorders>
            <w:shd w:val="clear" w:color="000000" w:fill="ACB9CA"/>
            <w:noWrap/>
            <w:vAlign w:val="center"/>
            <w:hideMark/>
          </w:tcPr>
          <w:p w:rsidR="009846CC" w:rsidRPr="009F7B0F" w:rsidRDefault="009846CC" w:rsidP="00E16426">
            <w:pPr>
              <w:spacing w:line="240" w:lineRule="auto"/>
              <w:jc w:val="center"/>
              <w:rPr>
                <w:b/>
                <w:bCs/>
                <w:sz w:val="22"/>
                <w:szCs w:val="22"/>
                <w:lang w:val="en-IN" w:eastAsia="en-IN"/>
              </w:rPr>
            </w:pPr>
            <w:r w:rsidRPr="009F7B0F">
              <w:rPr>
                <w:b/>
                <w:bCs/>
                <w:sz w:val="22"/>
                <w:szCs w:val="22"/>
                <w:lang w:val="en-IN" w:eastAsia="en-IN"/>
              </w:rPr>
              <w:t>Connected Load (kW)</w:t>
            </w:r>
          </w:p>
        </w:tc>
        <w:tc>
          <w:tcPr>
            <w:tcW w:w="784" w:type="pct"/>
            <w:tcBorders>
              <w:top w:val="single" w:sz="4" w:space="0" w:color="auto"/>
              <w:left w:val="nil"/>
              <w:bottom w:val="single" w:sz="4" w:space="0" w:color="auto"/>
              <w:right w:val="nil"/>
            </w:tcBorders>
            <w:shd w:val="clear" w:color="000000" w:fill="ACB9CA"/>
            <w:noWrap/>
            <w:vAlign w:val="center"/>
            <w:hideMark/>
          </w:tcPr>
          <w:p w:rsidR="009846CC" w:rsidRPr="009F7B0F" w:rsidRDefault="009846CC" w:rsidP="00E16426">
            <w:pPr>
              <w:spacing w:line="240" w:lineRule="auto"/>
              <w:jc w:val="center"/>
              <w:rPr>
                <w:b/>
                <w:bCs/>
                <w:color w:val="000000"/>
                <w:sz w:val="22"/>
                <w:szCs w:val="22"/>
                <w:lang w:val="en-IN" w:eastAsia="en-IN"/>
              </w:rPr>
            </w:pPr>
            <w:r w:rsidRPr="009F7B0F">
              <w:rPr>
                <w:b/>
                <w:bCs/>
                <w:color w:val="000000"/>
                <w:sz w:val="22"/>
                <w:szCs w:val="22"/>
                <w:lang w:val="en-IN" w:eastAsia="en-IN"/>
              </w:rPr>
              <w:t>Base Year</w:t>
            </w:r>
          </w:p>
        </w:tc>
        <w:tc>
          <w:tcPr>
            <w:tcW w:w="2351" w:type="pct"/>
            <w:gridSpan w:val="3"/>
            <w:tcBorders>
              <w:top w:val="single" w:sz="4" w:space="0" w:color="auto"/>
              <w:left w:val="single" w:sz="4" w:space="0" w:color="auto"/>
              <w:bottom w:val="single" w:sz="4" w:space="0" w:color="auto"/>
              <w:right w:val="single" w:sz="4" w:space="0" w:color="000000"/>
            </w:tcBorders>
            <w:shd w:val="clear" w:color="000000" w:fill="ACB9CA"/>
            <w:noWrap/>
            <w:vAlign w:val="center"/>
            <w:hideMark/>
          </w:tcPr>
          <w:p w:rsidR="009846CC" w:rsidRPr="009F7B0F" w:rsidRDefault="009846CC" w:rsidP="00E16426">
            <w:pPr>
              <w:spacing w:line="240" w:lineRule="auto"/>
              <w:jc w:val="center"/>
              <w:rPr>
                <w:b/>
                <w:bCs/>
                <w:color w:val="000000"/>
                <w:sz w:val="22"/>
                <w:szCs w:val="22"/>
                <w:lang w:val="en-IN" w:eastAsia="en-IN"/>
              </w:rPr>
            </w:pPr>
            <w:r w:rsidRPr="009F7B0F">
              <w:rPr>
                <w:b/>
                <w:bCs/>
                <w:color w:val="000000"/>
                <w:sz w:val="22"/>
                <w:szCs w:val="22"/>
                <w:lang w:val="en-IN" w:eastAsia="en-IN"/>
              </w:rPr>
              <w:t>Projections</w:t>
            </w:r>
          </w:p>
        </w:tc>
      </w:tr>
      <w:tr w:rsidR="009846CC" w:rsidRPr="009F7B0F" w:rsidTr="009A6247">
        <w:trPr>
          <w:trHeight w:val="300"/>
        </w:trPr>
        <w:tc>
          <w:tcPr>
            <w:tcW w:w="1866" w:type="pct"/>
            <w:tcBorders>
              <w:top w:val="nil"/>
              <w:left w:val="single" w:sz="4" w:space="0" w:color="auto"/>
              <w:bottom w:val="single" w:sz="4" w:space="0" w:color="auto"/>
              <w:right w:val="single" w:sz="4" w:space="0" w:color="auto"/>
            </w:tcBorders>
            <w:shd w:val="clear" w:color="000000" w:fill="ACB9CA"/>
            <w:noWrap/>
            <w:vAlign w:val="center"/>
            <w:hideMark/>
          </w:tcPr>
          <w:p w:rsidR="009846CC" w:rsidRPr="009F7B0F" w:rsidRDefault="009846CC" w:rsidP="00E16426">
            <w:pPr>
              <w:spacing w:line="240" w:lineRule="auto"/>
              <w:jc w:val="center"/>
              <w:rPr>
                <w:b/>
                <w:bCs/>
                <w:sz w:val="22"/>
                <w:szCs w:val="22"/>
                <w:lang w:val="en-IN" w:eastAsia="en-IN"/>
              </w:rPr>
            </w:pPr>
            <w:r w:rsidRPr="009F7B0F">
              <w:rPr>
                <w:b/>
                <w:bCs/>
                <w:sz w:val="22"/>
                <w:szCs w:val="22"/>
                <w:lang w:val="en-IN" w:eastAsia="en-IN"/>
              </w:rPr>
              <w:t>Consumer Category</w:t>
            </w:r>
          </w:p>
        </w:tc>
        <w:tc>
          <w:tcPr>
            <w:tcW w:w="784" w:type="pct"/>
            <w:tcBorders>
              <w:top w:val="nil"/>
              <w:left w:val="nil"/>
              <w:bottom w:val="single" w:sz="4" w:space="0" w:color="auto"/>
              <w:right w:val="single" w:sz="4" w:space="0" w:color="auto"/>
            </w:tcBorders>
            <w:shd w:val="clear" w:color="000000" w:fill="ACB9CA"/>
            <w:noWrap/>
            <w:vAlign w:val="center"/>
            <w:hideMark/>
          </w:tcPr>
          <w:p w:rsidR="009846CC" w:rsidRPr="009F7B0F" w:rsidRDefault="009846CC" w:rsidP="00E16426">
            <w:pPr>
              <w:spacing w:line="240" w:lineRule="auto"/>
              <w:jc w:val="center"/>
              <w:rPr>
                <w:b/>
                <w:bCs/>
                <w:color w:val="000000"/>
                <w:sz w:val="22"/>
                <w:szCs w:val="22"/>
                <w:lang w:val="en-IN" w:eastAsia="en-IN"/>
              </w:rPr>
            </w:pPr>
            <w:r w:rsidRPr="009F7B0F">
              <w:rPr>
                <w:b/>
                <w:bCs/>
                <w:color w:val="000000"/>
                <w:sz w:val="22"/>
                <w:szCs w:val="22"/>
                <w:lang w:val="en-IN" w:eastAsia="en-IN"/>
              </w:rPr>
              <w:t>FY 2018-19</w:t>
            </w:r>
          </w:p>
        </w:tc>
        <w:tc>
          <w:tcPr>
            <w:tcW w:w="730" w:type="pct"/>
            <w:tcBorders>
              <w:top w:val="nil"/>
              <w:left w:val="nil"/>
              <w:bottom w:val="single" w:sz="4" w:space="0" w:color="auto"/>
              <w:right w:val="single" w:sz="4" w:space="0" w:color="auto"/>
            </w:tcBorders>
            <w:shd w:val="clear" w:color="000000" w:fill="ACB9CA"/>
            <w:noWrap/>
            <w:vAlign w:val="center"/>
            <w:hideMark/>
          </w:tcPr>
          <w:p w:rsidR="009846CC" w:rsidRPr="009F7B0F" w:rsidRDefault="009846CC" w:rsidP="00E16426">
            <w:pPr>
              <w:spacing w:line="240" w:lineRule="auto"/>
              <w:jc w:val="center"/>
              <w:rPr>
                <w:b/>
                <w:bCs/>
                <w:color w:val="000000"/>
                <w:sz w:val="22"/>
                <w:szCs w:val="22"/>
                <w:lang w:val="en-IN" w:eastAsia="en-IN"/>
              </w:rPr>
            </w:pPr>
            <w:r w:rsidRPr="009F7B0F">
              <w:rPr>
                <w:b/>
                <w:bCs/>
                <w:color w:val="000000"/>
                <w:sz w:val="22"/>
                <w:szCs w:val="22"/>
                <w:lang w:val="en-IN" w:eastAsia="en-IN"/>
              </w:rPr>
              <w:t>FY 2019-20</w:t>
            </w:r>
          </w:p>
        </w:tc>
        <w:tc>
          <w:tcPr>
            <w:tcW w:w="837" w:type="pct"/>
            <w:tcBorders>
              <w:top w:val="nil"/>
              <w:left w:val="nil"/>
              <w:bottom w:val="single" w:sz="4" w:space="0" w:color="auto"/>
              <w:right w:val="single" w:sz="4" w:space="0" w:color="auto"/>
            </w:tcBorders>
            <w:shd w:val="clear" w:color="000000" w:fill="ACB9CA"/>
            <w:noWrap/>
            <w:vAlign w:val="center"/>
            <w:hideMark/>
          </w:tcPr>
          <w:p w:rsidR="009846CC" w:rsidRPr="009F7B0F" w:rsidRDefault="009846CC" w:rsidP="00E16426">
            <w:pPr>
              <w:spacing w:line="240" w:lineRule="auto"/>
              <w:jc w:val="center"/>
              <w:rPr>
                <w:b/>
                <w:bCs/>
                <w:color w:val="000000"/>
                <w:sz w:val="22"/>
                <w:szCs w:val="22"/>
                <w:lang w:val="en-IN" w:eastAsia="en-IN"/>
              </w:rPr>
            </w:pPr>
            <w:r w:rsidRPr="009F7B0F">
              <w:rPr>
                <w:b/>
                <w:bCs/>
                <w:color w:val="000000"/>
                <w:sz w:val="22"/>
                <w:szCs w:val="22"/>
                <w:lang w:val="en-IN" w:eastAsia="en-IN"/>
              </w:rPr>
              <w:t>FY 2020-21</w:t>
            </w:r>
          </w:p>
        </w:tc>
        <w:tc>
          <w:tcPr>
            <w:tcW w:w="784" w:type="pct"/>
            <w:tcBorders>
              <w:top w:val="nil"/>
              <w:left w:val="nil"/>
              <w:bottom w:val="single" w:sz="4" w:space="0" w:color="auto"/>
              <w:right w:val="single" w:sz="4" w:space="0" w:color="auto"/>
            </w:tcBorders>
            <w:shd w:val="clear" w:color="000000" w:fill="ACB9CA"/>
            <w:noWrap/>
            <w:vAlign w:val="center"/>
            <w:hideMark/>
          </w:tcPr>
          <w:p w:rsidR="009846CC" w:rsidRPr="009F7B0F" w:rsidRDefault="009846CC" w:rsidP="00E16426">
            <w:pPr>
              <w:spacing w:line="240" w:lineRule="auto"/>
              <w:jc w:val="center"/>
              <w:rPr>
                <w:b/>
                <w:bCs/>
                <w:color w:val="000000"/>
                <w:sz w:val="22"/>
                <w:szCs w:val="22"/>
                <w:lang w:val="en-IN" w:eastAsia="en-IN"/>
              </w:rPr>
            </w:pPr>
            <w:r w:rsidRPr="009F7B0F">
              <w:rPr>
                <w:b/>
                <w:bCs/>
                <w:color w:val="000000"/>
                <w:sz w:val="22"/>
                <w:szCs w:val="22"/>
                <w:lang w:val="en-IN" w:eastAsia="en-IN"/>
              </w:rPr>
              <w:t>FY 2021-22</w:t>
            </w:r>
          </w:p>
        </w:tc>
      </w:tr>
      <w:tr w:rsidR="009846CC" w:rsidRPr="009F7B0F" w:rsidTr="009A6247">
        <w:trPr>
          <w:trHeight w:val="300"/>
        </w:trPr>
        <w:tc>
          <w:tcPr>
            <w:tcW w:w="18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846CC" w:rsidRPr="009A6247" w:rsidRDefault="009846CC" w:rsidP="00E16426">
            <w:pPr>
              <w:spacing w:line="240" w:lineRule="auto"/>
              <w:jc w:val="left"/>
              <w:rPr>
                <w:color w:val="000000"/>
                <w:sz w:val="22"/>
                <w:szCs w:val="22"/>
                <w:lang w:val="en-IN" w:eastAsia="en-IN"/>
              </w:rPr>
            </w:pPr>
            <w:r w:rsidRPr="009A6247">
              <w:rPr>
                <w:color w:val="000000"/>
                <w:sz w:val="22"/>
                <w:szCs w:val="22"/>
                <w:lang w:val="en-IN" w:eastAsia="en-IN"/>
              </w:rPr>
              <w:t>Domestic</w:t>
            </w:r>
          </w:p>
        </w:tc>
        <w:tc>
          <w:tcPr>
            <w:tcW w:w="784" w:type="pct"/>
            <w:tcBorders>
              <w:top w:val="single" w:sz="4" w:space="0" w:color="auto"/>
              <w:left w:val="nil"/>
              <w:bottom w:val="single" w:sz="4" w:space="0" w:color="auto"/>
              <w:right w:val="single" w:sz="4" w:space="0" w:color="auto"/>
            </w:tcBorders>
            <w:shd w:val="clear" w:color="auto" w:fill="auto"/>
            <w:noWrap/>
            <w:vAlign w:val="center"/>
            <w:hideMark/>
          </w:tcPr>
          <w:p w:rsidR="009846CC" w:rsidRPr="009A6247" w:rsidRDefault="009846CC" w:rsidP="00735CAB">
            <w:pPr>
              <w:spacing w:line="240" w:lineRule="auto"/>
              <w:jc w:val="right"/>
              <w:rPr>
                <w:color w:val="000000"/>
                <w:sz w:val="22"/>
                <w:szCs w:val="22"/>
                <w:lang w:val="en-IN" w:eastAsia="en-IN"/>
              </w:rPr>
            </w:pPr>
            <w:r w:rsidRPr="009A6247">
              <w:rPr>
                <w:color w:val="000000"/>
                <w:sz w:val="22"/>
                <w:szCs w:val="22"/>
                <w:lang w:val="en-IN" w:eastAsia="en-IN"/>
              </w:rPr>
              <w:t>554691</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rsidR="009846CC" w:rsidRPr="009A6247" w:rsidRDefault="009846CC" w:rsidP="00735CAB">
            <w:pPr>
              <w:spacing w:line="240" w:lineRule="auto"/>
              <w:jc w:val="right"/>
              <w:rPr>
                <w:color w:val="000000"/>
                <w:sz w:val="22"/>
                <w:szCs w:val="22"/>
                <w:lang w:val="en-IN" w:eastAsia="en-IN"/>
              </w:rPr>
            </w:pPr>
            <w:r w:rsidRPr="009A6247">
              <w:rPr>
                <w:color w:val="000000"/>
                <w:sz w:val="22"/>
                <w:szCs w:val="22"/>
                <w:lang w:val="en-IN" w:eastAsia="en-IN"/>
              </w:rPr>
              <w:t>580259</w:t>
            </w:r>
          </w:p>
        </w:tc>
        <w:tc>
          <w:tcPr>
            <w:tcW w:w="837" w:type="pct"/>
            <w:tcBorders>
              <w:top w:val="single" w:sz="4" w:space="0" w:color="auto"/>
              <w:left w:val="nil"/>
              <w:bottom w:val="single" w:sz="4" w:space="0" w:color="auto"/>
              <w:right w:val="single" w:sz="4" w:space="0" w:color="auto"/>
            </w:tcBorders>
            <w:shd w:val="clear" w:color="auto" w:fill="auto"/>
            <w:noWrap/>
            <w:vAlign w:val="center"/>
            <w:hideMark/>
          </w:tcPr>
          <w:p w:rsidR="009846CC" w:rsidRPr="009A6247" w:rsidRDefault="009846CC" w:rsidP="00735CAB">
            <w:pPr>
              <w:spacing w:line="240" w:lineRule="auto"/>
              <w:jc w:val="right"/>
              <w:rPr>
                <w:color w:val="000000"/>
                <w:sz w:val="22"/>
                <w:szCs w:val="22"/>
                <w:lang w:val="en-IN" w:eastAsia="en-IN"/>
              </w:rPr>
            </w:pPr>
            <w:r w:rsidRPr="009A6247">
              <w:rPr>
                <w:color w:val="000000"/>
                <w:sz w:val="22"/>
                <w:szCs w:val="22"/>
                <w:lang w:val="en-IN" w:eastAsia="en-IN"/>
              </w:rPr>
              <w:t>607006</w:t>
            </w:r>
          </w:p>
        </w:tc>
        <w:tc>
          <w:tcPr>
            <w:tcW w:w="784" w:type="pct"/>
            <w:tcBorders>
              <w:top w:val="single" w:sz="4" w:space="0" w:color="auto"/>
              <w:left w:val="nil"/>
              <w:bottom w:val="single" w:sz="4" w:space="0" w:color="auto"/>
              <w:right w:val="single" w:sz="4" w:space="0" w:color="auto"/>
            </w:tcBorders>
            <w:shd w:val="clear" w:color="auto" w:fill="auto"/>
            <w:noWrap/>
            <w:vAlign w:val="center"/>
            <w:hideMark/>
          </w:tcPr>
          <w:p w:rsidR="009846CC" w:rsidRPr="009A6247" w:rsidRDefault="009846CC" w:rsidP="00735CAB">
            <w:pPr>
              <w:spacing w:line="240" w:lineRule="auto"/>
              <w:jc w:val="right"/>
              <w:rPr>
                <w:color w:val="000000"/>
                <w:sz w:val="22"/>
                <w:szCs w:val="22"/>
                <w:lang w:val="en-IN" w:eastAsia="en-IN"/>
              </w:rPr>
            </w:pPr>
            <w:r w:rsidRPr="009A6247">
              <w:rPr>
                <w:color w:val="000000"/>
                <w:sz w:val="22"/>
                <w:szCs w:val="22"/>
                <w:lang w:val="en-IN" w:eastAsia="en-IN"/>
              </w:rPr>
              <w:t>634986</w:t>
            </w:r>
          </w:p>
        </w:tc>
      </w:tr>
      <w:tr w:rsidR="009846CC" w:rsidRPr="009F7B0F" w:rsidTr="009A6247">
        <w:trPr>
          <w:trHeight w:val="300"/>
        </w:trPr>
        <w:tc>
          <w:tcPr>
            <w:tcW w:w="1866" w:type="pct"/>
            <w:tcBorders>
              <w:top w:val="nil"/>
              <w:left w:val="single" w:sz="4" w:space="0" w:color="auto"/>
              <w:bottom w:val="single" w:sz="4" w:space="0" w:color="auto"/>
              <w:right w:val="single" w:sz="4" w:space="0" w:color="auto"/>
            </w:tcBorders>
            <w:shd w:val="clear" w:color="auto" w:fill="auto"/>
            <w:vAlign w:val="center"/>
            <w:hideMark/>
          </w:tcPr>
          <w:p w:rsidR="009846CC" w:rsidRPr="009A6247" w:rsidRDefault="009846CC" w:rsidP="00E16426">
            <w:pPr>
              <w:spacing w:line="240" w:lineRule="auto"/>
              <w:jc w:val="left"/>
              <w:rPr>
                <w:color w:val="000000"/>
                <w:sz w:val="22"/>
                <w:szCs w:val="22"/>
                <w:lang w:val="en-IN" w:eastAsia="en-IN"/>
              </w:rPr>
            </w:pPr>
            <w:r w:rsidRPr="009A6247">
              <w:rPr>
                <w:color w:val="000000"/>
                <w:sz w:val="22"/>
                <w:szCs w:val="22"/>
                <w:lang w:val="en-IN" w:eastAsia="en-IN"/>
              </w:rPr>
              <w:t>OHOB</w:t>
            </w:r>
          </w:p>
        </w:tc>
        <w:tc>
          <w:tcPr>
            <w:tcW w:w="784" w:type="pct"/>
            <w:tcBorders>
              <w:top w:val="nil"/>
              <w:left w:val="nil"/>
              <w:bottom w:val="single" w:sz="4" w:space="0" w:color="auto"/>
              <w:right w:val="single" w:sz="4" w:space="0" w:color="auto"/>
            </w:tcBorders>
            <w:shd w:val="clear" w:color="auto" w:fill="auto"/>
            <w:noWrap/>
            <w:vAlign w:val="center"/>
            <w:hideMark/>
          </w:tcPr>
          <w:p w:rsidR="009846CC" w:rsidRPr="009A6247" w:rsidRDefault="009846CC" w:rsidP="00735CAB">
            <w:pPr>
              <w:spacing w:line="240" w:lineRule="auto"/>
              <w:jc w:val="right"/>
              <w:rPr>
                <w:color w:val="000000"/>
                <w:sz w:val="22"/>
                <w:szCs w:val="22"/>
                <w:lang w:val="en-IN" w:eastAsia="en-IN"/>
              </w:rPr>
            </w:pPr>
            <w:r w:rsidRPr="009A6247">
              <w:rPr>
                <w:color w:val="000000"/>
                <w:sz w:val="22"/>
                <w:szCs w:val="22"/>
                <w:lang w:val="en-IN" w:eastAsia="en-IN"/>
              </w:rPr>
              <w:t>2843</w:t>
            </w:r>
          </w:p>
        </w:tc>
        <w:tc>
          <w:tcPr>
            <w:tcW w:w="730" w:type="pct"/>
            <w:tcBorders>
              <w:top w:val="nil"/>
              <w:left w:val="nil"/>
              <w:bottom w:val="single" w:sz="4" w:space="0" w:color="auto"/>
              <w:right w:val="single" w:sz="4" w:space="0" w:color="auto"/>
            </w:tcBorders>
            <w:shd w:val="clear" w:color="auto" w:fill="auto"/>
            <w:noWrap/>
            <w:vAlign w:val="center"/>
            <w:hideMark/>
          </w:tcPr>
          <w:p w:rsidR="009846CC" w:rsidRPr="009A6247" w:rsidRDefault="009846CC" w:rsidP="00735CAB">
            <w:pPr>
              <w:spacing w:line="240" w:lineRule="auto"/>
              <w:jc w:val="right"/>
              <w:rPr>
                <w:color w:val="000000"/>
                <w:sz w:val="22"/>
                <w:szCs w:val="22"/>
                <w:lang w:val="en-IN" w:eastAsia="en-IN"/>
              </w:rPr>
            </w:pPr>
            <w:r w:rsidRPr="009A6247">
              <w:rPr>
                <w:color w:val="000000"/>
                <w:sz w:val="22"/>
                <w:szCs w:val="22"/>
                <w:lang w:val="en-IN" w:eastAsia="en-IN"/>
              </w:rPr>
              <w:t>2843</w:t>
            </w:r>
          </w:p>
        </w:tc>
        <w:tc>
          <w:tcPr>
            <w:tcW w:w="837" w:type="pct"/>
            <w:tcBorders>
              <w:top w:val="nil"/>
              <w:left w:val="nil"/>
              <w:bottom w:val="single" w:sz="4" w:space="0" w:color="auto"/>
              <w:right w:val="single" w:sz="4" w:space="0" w:color="auto"/>
            </w:tcBorders>
            <w:shd w:val="clear" w:color="auto" w:fill="auto"/>
            <w:noWrap/>
            <w:vAlign w:val="center"/>
            <w:hideMark/>
          </w:tcPr>
          <w:p w:rsidR="009846CC" w:rsidRPr="009A6247" w:rsidRDefault="009846CC" w:rsidP="00735CAB">
            <w:pPr>
              <w:spacing w:line="240" w:lineRule="auto"/>
              <w:jc w:val="right"/>
              <w:rPr>
                <w:color w:val="000000"/>
                <w:sz w:val="22"/>
                <w:szCs w:val="22"/>
                <w:lang w:val="en-IN" w:eastAsia="en-IN"/>
              </w:rPr>
            </w:pPr>
            <w:r w:rsidRPr="009A6247">
              <w:rPr>
                <w:color w:val="000000"/>
                <w:sz w:val="22"/>
                <w:szCs w:val="22"/>
                <w:lang w:val="en-IN" w:eastAsia="en-IN"/>
              </w:rPr>
              <w:t>2843</w:t>
            </w:r>
          </w:p>
        </w:tc>
        <w:tc>
          <w:tcPr>
            <w:tcW w:w="784" w:type="pct"/>
            <w:tcBorders>
              <w:top w:val="nil"/>
              <w:left w:val="nil"/>
              <w:bottom w:val="single" w:sz="4" w:space="0" w:color="auto"/>
              <w:right w:val="single" w:sz="4" w:space="0" w:color="auto"/>
            </w:tcBorders>
            <w:shd w:val="clear" w:color="auto" w:fill="auto"/>
            <w:noWrap/>
            <w:vAlign w:val="center"/>
            <w:hideMark/>
          </w:tcPr>
          <w:p w:rsidR="009846CC" w:rsidRPr="009A6247" w:rsidRDefault="009846CC" w:rsidP="00735CAB">
            <w:pPr>
              <w:spacing w:line="240" w:lineRule="auto"/>
              <w:jc w:val="right"/>
              <w:rPr>
                <w:color w:val="000000"/>
                <w:sz w:val="22"/>
                <w:szCs w:val="22"/>
                <w:lang w:val="en-IN" w:eastAsia="en-IN"/>
              </w:rPr>
            </w:pPr>
            <w:r w:rsidRPr="009A6247">
              <w:rPr>
                <w:color w:val="000000"/>
                <w:sz w:val="22"/>
                <w:szCs w:val="22"/>
                <w:lang w:val="en-IN" w:eastAsia="en-IN"/>
              </w:rPr>
              <w:t>2843</w:t>
            </w:r>
          </w:p>
        </w:tc>
      </w:tr>
      <w:tr w:rsidR="009846CC" w:rsidRPr="009F7B0F" w:rsidTr="009A6247">
        <w:trPr>
          <w:trHeight w:val="300"/>
        </w:trPr>
        <w:tc>
          <w:tcPr>
            <w:tcW w:w="1866" w:type="pct"/>
            <w:tcBorders>
              <w:top w:val="nil"/>
              <w:left w:val="single" w:sz="4" w:space="0" w:color="auto"/>
              <w:bottom w:val="single" w:sz="4" w:space="0" w:color="auto"/>
              <w:right w:val="single" w:sz="4" w:space="0" w:color="auto"/>
            </w:tcBorders>
            <w:shd w:val="clear" w:color="auto" w:fill="auto"/>
            <w:vAlign w:val="center"/>
            <w:hideMark/>
          </w:tcPr>
          <w:p w:rsidR="009846CC" w:rsidRPr="009A6247" w:rsidRDefault="009846CC" w:rsidP="00E16426">
            <w:pPr>
              <w:spacing w:line="240" w:lineRule="auto"/>
              <w:jc w:val="left"/>
              <w:rPr>
                <w:color w:val="000000"/>
                <w:sz w:val="22"/>
                <w:szCs w:val="22"/>
                <w:lang w:val="en-IN" w:eastAsia="en-IN"/>
              </w:rPr>
            </w:pPr>
            <w:r w:rsidRPr="009A6247">
              <w:rPr>
                <w:color w:val="000000"/>
                <w:sz w:val="22"/>
                <w:szCs w:val="22"/>
                <w:lang w:val="en-IN" w:eastAsia="en-IN"/>
              </w:rPr>
              <w:t>Commercial</w:t>
            </w:r>
          </w:p>
        </w:tc>
        <w:tc>
          <w:tcPr>
            <w:tcW w:w="784" w:type="pct"/>
            <w:tcBorders>
              <w:top w:val="nil"/>
              <w:left w:val="nil"/>
              <w:bottom w:val="single" w:sz="4" w:space="0" w:color="auto"/>
              <w:right w:val="single" w:sz="4" w:space="0" w:color="auto"/>
            </w:tcBorders>
            <w:shd w:val="clear" w:color="auto" w:fill="auto"/>
            <w:noWrap/>
            <w:vAlign w:val="center"/>
            <w:hideMark/>
          </w:tcPr>
          <w:p w:rsidR="009846CC" w:rsidRPr="009A6247" w:rsidRDefault="009846CC" w:rsidP="00735CAB">
            <w:pPr>
              <w:spacing w:line="240" w:lineRule="auto"/>
              <w:jc w:val="right"/>
              <w:rPr>
                <w:color w:val="000000"/>
                <w:sz w:val="22"/>
                <w:szCs w:val="22"/>
                <w:lang w:val="en-IN" w:eastAsia="en-IN"/>
              </w:rPr>
            </w:pPr>
            <w:r w:rsidRPr="009A6247">
              <w:rPr>
                <w:color w:val="000000"/>
                <w:sz w:val="22"/>
                <w:szCs w:val="22"/>
                <w:lang w:val="en-IN" w:eastAsia="en-IN"/>
              </w:rPr>
              <w:t>130876</w:t>
            </w:r>
          </w:p>
        </w:tc>
        <w:tc>
          <w:tcPr>
            <w:tcW w:w="730" w:type="pct"/>
            <w:tcBorders>
              <w:top w:val="nil"/>
              <w:left w:val="nil"/>
              <w:bottom w:val="single" w:sz="4" w:space="0" w:color="auto"/>
              <w:right w:val="single" w:sz="4" w:space="0" w:color="auto"/>
            </w:tcBorders>
            <w:shd w:val="clear" w:color="auto" w:fill="auto"/>
            <w:noWrap/>
            <w:vAlign w:val="center"/>
            <w:hideMark/>
          </w:tcPr>
          <w:p w:rsidR="009846CC" w:rsidRPr="009A6247" w:rsidRDefault="009846CC" w:rsidP="00735CAB">
            <w:pPr>
              <w:spacing w:line="240" w:lineRule="auto"/>
              <w:jc w:val="right"/>
              <w:rPr>
                <w:color w:val="000000"/>
                <w:sz w:val="22"/>
                <w:szCs w:val="22"/>
                <w:lang w:val="en-IN" w:eastAsia="en-IN"/>
              </w:rPr>
            </w:pPr>
            <w:r w:rsidRPr="009A6247">
              <w:rPr>
                <w:color w:val="000000"/>
                <w:sz w:val="22"/>
                <w:szCs w:val="22"/>
                <w:lang w:val="en-IN" w:eastAsia="en-IN"/>
              </w:rPr>
              <w:t>141188</w:t>
            </w:r>
          </w:p>
        </w:tc>
        <w:tc>
          <w:tcPr>
            <w:tcW w:w="837" w:type="pct"/>
            <w:tcBorders>
              <w:top w:val="nil"/>
              <w:left w:val="nil"/>
              <w:bottom w:val="single" w:sz="4" w:space="0" w:color="auto"/>
              <w:right w:val="single" w:sz="4" w:space="0" w:color="auto"/>
            </w:tcBorders>
            <w:shd w:val="clear" w:color="auto" w:fill="auto"/>
            <w:noWrap/>
            <w:vAlign w:val="center"/>
            <w:hideMark/>
          </w:tcPr>
          <w:p w:rsidR="009846CC" w:rsidRPr="009A6247" w:rsidRDefault="009846CC" w:rsidP="00735CAB">
            <w:pPr>
              <w:spacing w:line="240" w:lineRule="auto"/>
              <w:jc w:val="right"/>
              <w:rPr>
                <w:color w:val="000000"/>
                <w:sz w:val="22"/>
                <w:szCs w:val="22"/>
                <w:lang w:val="en-IN" w:eastAsia="en-IN"/>
              </w:rPr>
            </w:pPr>
            <w:r w:rsidRPr="009A6247">
              <w:rPr>
                <w:color w:val="000000"/>
                <w:sz w:val="22"/>
                <w:szCs w:val="22"/>
                <w:lang w:val="en-IN" w:eastAsia="en-IN"/>
              </w:rPr>
              <w:t>152312</w:t>
            </w:r>
          </w:p>
        </w:tc>
        <w:tc>
          <w:tcPr>
            <w:tcW w:w="784" w:type="pct"/>
            <w:tcBorders>
              <w:top w:val="nil"/>
              <w:left w:val="nil"/>
              <w:bottom w:val="single" w:sz="4" w:space="0" w:color="auto"/>
              <w:right w:val="single" w:sz="4" w:space="0" w:color="auto"/>
            </w:tcBorders>
            <w:shd w:val="clear" w:color="auto" w:fill="auto"/>
            <w:noWrap/>
            <w:vAlign w:val="center"/>
            <w:hideMark/>
          </w:tcPr>
          <w:p w:rsidR="009846CC" w:rsidRPr="009A6247" w:rsidRDefault="009846CC" w:rsidP="00735CAB">
            <w:pPr>
              <w:spacing w:line="240" w:lineRule="auto"/>
              <w:jc w:val="right"/>
              <w:rPr>
                <w:color w:val="000000"/>
                <w:sz w:val="22"/>
                <w:szCs w:val="22"/>
                <w:lang w:val="en-IN" w:eastAsia="en-IN"/>
              </w:rPr>
            </w:pPr>
            <w:r w:rsidRPr="009A6247">
              <w:rPr>
                <w:color w:val="000000"/>
                <w:sz w:val="22"/>
                <w:szCs w:val="22"/>
                <w:lang w:val="en-IN" w:eastAsia="en-IN"/>
              </w:rPr>
              <w:t>164313</w:t>
            </w:r>
          </w:p>
        </w:tc>
      </w:tr>
      <w:tr w:rsidR="009846CC" w:rsidRPr="009F7B0F" w:rsidTr="009A6247">
        <w:trPr>
          <w:trHeight w:val="300"/>
        </w:trPr>
        <w:tc>
          <w:tcPr>
            <w:tcW w:w="1866" w:type="pct"/>
            <w:tcBorders>
              <w:top w:val="nil"/>
              <w:left w:val="single" w:sz="4" w:space="0" w:color="auto"/>
              <w:bottom w:val="single" w:sz="4" w:space="0" w:color="auto"/>
              <w:right w:val="single" w:sz="4" w:space="0" w:color="auto"/>
            </w:tcBorders>
            <w:shd w:val="clear" w:color="auto" w:fill="auto"/>
            <w:vAlign w:val="center"/>
            <w:hideMark/>
          </w:tcPr>
          <w:p w:rsidR="009846CC" w:rsidRPr="009A6247" w:rsidRDefault="009846CC" w:rsidP="00E16426">
            <w:pPr>
              <w:spacing w:line="240" w:lineRule="auto"/>
              <w:jc w:val="left"/>
              <w:rPr>
                <w:color w:val="000000"/>
                <w:sz w:val="22"/>
                <w:szCs w:val="22"/>
                <w:lang w:val="en-IN" w:eastAsia="en-IN"/>
              </w:rPr>
            </w:pPr>
            <w:r w:rsidRPr="009A6247">
              <w:rPr>
                <w:color w:val="000000"/>
                <w:sz w:val="22"/>
                <w:szCs w:val="22"/>
                <w:lang w:val="en-IN" w:eastAsia="en-IN"/>
              </w:rPr>
              <w:t xml:space="preserve">Agriculture </w:t>
            </w:r>
          </w:p>
        </w:tc>
        <w:tc>
          <w:tcPr>
            <w:tcW w:w="784" w:type="pct"/>
            <w:tcBorders>
              <w:top w:val="nil"/>
              <w:left w:val="nil"/>
              <w:bottom w:val="single" w:sz="4" w:space="0" w:color="auto"/>
              <w:right w:val="single" w:sz="4" w:space="0" w:color="auto"/>
            </w:tcBorders>
            <w:shd w:val="clear" w:color="auto" w:fill="auto"/>
            <w:noWrap/>
            <w:vAlign w:val="center"/>
            <w:hideMark/>
          </w:tcPr>
          <w:p w:rsidR="009846CC" w:rsidRPr="009A6247" w:rsidRDefault="009846CC" w:rsidP="00735CAB">
            <w:pPr>
              <w:spacing w:line="240" w:lineRule="auto"/>
              <w:jc w:val="right"/>
              <w:rPr>
                <w:color w:val="000000"/>
                <w:sz w:val="22"/>
                <w:szCs w:val="22"/>
                <w:lang w:val="en-IN" w:eastAsia="en-IN"/>
              </w:rPr>
            </w:pPr>
            <w:r w:rsidRPr="009A6247">
              <w:rPr>
                <w:color w:val="000000"/>
                <w:sz w:val="22"/>
                <w:szCs w:val="22"/>
                <w:lang w:val="en-IN" w:eastAsia="en-IN"/>
              </w:rPr>
              <w:t>44654</w:t>
            </w:r>
          </w:p>
        </w:tc>
        <w:tc>
          <w:tcPr>
            <w:tcW w:w="730" w:type="pct"/>
            <w:tcBorders>
              <w:top w:val="nil"/>
              <w:left w:val="nil"/>
              <w:bottom w:val="single" w:sz="4" w:space="0" w:color="auto"/>
              <w:right w:val="single" w:sz="4" w:space="0" w:color="auto"/>
            </w:tcBorders>
            <w:shd w:val="clear" w:color="auto" w:fill="auto"/>
            <w:noWrap/>
            <w:vAlign w:val="center"/>
            <w:hideMark/>
          </w:tcPr>
          <w:p w:rsidR="009846CC" w:rsidRPr="009A6247" w:rsidRDefault="009846CC" w:rsidP="00735CAB">
            <w:pPr>
              <w:spacing w:line="240" w:lineRule="auto"/>
              <w:jc w:val="right"/>
              <w:rPr>
                <w:color w:val="000000"/>
                <w:sz w:val="22"/>
                <w:szCs w:val="22"/>
                <w:lang w:val="en-IN" w:eastAsia="en-IN"/>
              </w:rPr>
            </w:pPr>
            <w:r w:rsidRPr="009A6247">
              <w:rPr>
                <w:color w:val="000000"/>
                <w:sz w:val="22"/>
                <w:szCs w:val="22"/>
                <w:lang w:val="en-IN" w:eastAsia="en-IN"/>
              </w:rPr>
              <w:t>44654</w:t>
            </w:r>
          </w:p>
        </w:tc>
        <w:tc>
          <w:tcPr>
            <w:tcW w:w="837" w:type="pct"/>
            <w:tcBorders>
              <w:top w:val="nil"/>
              <w:left w:val="nil"/>
              <w:bottom w:val="single" w:sz="4" w:space="0" w:color="auto"/>
              <w:right w:val="single" w:sz="4" w:space="0" w:color="auto"/>
            </w:tcBorders>
            <w:shd w:val="clear" w:color="auto" w:fill="auto"/>
            <w:noWrap/>
            <w:vAlign w:val="center"/>
            <w:hideMark/>
          </w:tcPr>
          <w:p w:rsidR="009846CC" w:rsidRPr="009A6247" w:rsidRDefault="009846CC" w:rsidP="00735CAB">
            <w:pPr>
              <w:spacing w:line="240" w:lineRule="auto"/>
              <w:jc w:val="right"/>
              <w:rPr>
                <w:color w:val="000000"/>
                <w:sz w:val="22"/>
                <w:szCs w:val="22"/>
                <w:lang w:val="en-IN" w:eastAsia="en-IN"/>
              </w:rPr>
            </w:pPr>
            <w:r w:rsidRPr="009A6247">
              <w:rPr>
                <w:color w:val="000000"/>
                <w:sz w:val="22"/>
                <w:szCs w:val="22"/>
                <w:lang w:val="en-IN" w:eastAsia="en-IN"/>
              </w:rPr>
              <w:t>44654</w:t>
            </w:r>
          </w:p>
        </w:tc>
        <w:tc>
          <w:tcPr>
            <w:tcW w:w="784" w:type="pct"/>
            <w:tcBorders>
              <w:top w:val="nil"/>
              <w:left w:val="nil"/>
              <w:bottom w:val="single" w:sz="4" w:space="0" w:color="auto"/>
              <w:right w:val="single" w:sz="4" w:space="0" w:color="auto"/>
            </w:tcBorders>
            <w:shd w:val="clear" w:color="auto" w:fill="auto"/>
            <w:noWrap/>
            <w:vAlign w:val="center"/>
            <w:hideMark/>
          </w:tcPr>
          <w:p w:rsidR="009846CC" w:rsidRPr="009A6247" w:rsidRDefault="009846CC" w:rsidP="00735CAB">
            <w:pPr>
              <w:spacing w:line="240" w:lineRule="auto"/>
              <w:jc w:val="right"/>
              <w:rPr>
                <w:color w:val="000000"/>
                <w:sz w:val="22"/>
                <w:szCs w:val="22"/>
                <w:lang w:val="en-IN" w:eastAsia="en-IN"/>
              </w:rPr>
            </w:pPr>
            <w:r w:rsidRPr="009A6247">
              <w:rPr>
                <w:color w:val="000000"/>
                <w:sz w:val="22"/>
                <w:szCs w:val="22"/>
                <w:lang w:val="en-IN" w:eastAsia="en-IN"/>
              </w:rPr>
              <w:t>44654</w:t>
            </w:r>
          </w:p>
        </w:tc>
      </w:tr>
      <w:tr w:rsidR="009846CC" w:rsidRPr="009F7B0F" w:rsidTr="009A6247">
        <w:trPr>
          <w:trHeight w:val="300"/>
        </w:trPr>
        <w:tc>
          <w:tcPr>
            <w:tcW w:w="1866" w:type="pct"/>
            <w:tcBorders>
              <w:top w:val="nil"/>
              <w:left w:val="single" w:sz="4" w:space="0" w:color="auto"/>
              <w:bottom w:val="single" w:sz="4" w:space="0" w:color="auto"/>
              <w:right w:val="single" w:sz="4" w:space="0" w:color="auto"/>
            </w:tcBorders>
            <w:shd w:val="clear" w:color="auto" w:fill="auto"/>
            <w:vAlign w:val="center"/>
            <w:hideMark/>
          </w:tcPr>
          <w:p w:rsidR="009846CC" w:rsidRPr="009A6247" w:rsidRDefault="009846CC" w:rsidP="00E16426">
            <w:pPr>
              <w:spacing w:line="240" w:lineRule="auto"/>
              <w:jc w:val="left"/>
              <w:rPr>
                <w:color w:val="000000"/>
                <w:sz w:val="22"/>
                <w:szCs w:val="22"/>
                <w:lang w:val="en-IN" w:eastAsia="en-IN"/>
              </w:rPr>
            </w:pPr>
            <w:r w:rsidRPr="009A6247">
              <w:rPr>
                <w:color w:val="000000"/>
                <w:sz w:val="22"/>
                <w:szCs w:val="22"/>
                <w:lang w:val="en-IN" w:eastAsia="en-IN"/>
              </w:rPr>
              <w:t>Public lighting</w:t>
            </w:r>
          </w:p>
        </w:tc>
        <w:tc>
          <w:tcPr>
            <w:tcW w:w="784" w:type="pct"/>
            <w:tcBorders>
              <w:top w:val="nil"/>
              <w:left w:val="nil"/>
              <w:bottom w:val="single" w:sz="4" w:space="0" w:color="auto"/>
              <w:right w:val="single" w:sz="4" w:space="0" w:color="auto"/>
            </w:tcBorders>
            <w:shd w:val="clear" w:color="auto" w:fill="auto"/>
            <w:noWrap/>
            <w:vAlign w:val="center"/>
            <w:hideMark/>
          </w:tcPr>
          <w:p w:rsidR="009846CC" w:rsidRPr="009A6247" w:rsidRDefault="009846CC" w:rsidP="00735CAB">
            <w:pPr>
              <w:spacing w:line="240" w:lineRule="auto"/>
              <w:jc w:val="right"/>
              <w:rPr>
                <w:color w:val="000000"/>
                <w:sz w:val="22"/>
                <w:szCs w:val="22"/>
                <w:lang w:val="en-IN" w:eastAsia="en-IN"/>
              </w:rPr>
            </w:pPr>
            <w:r w:rsidRPr="009A6247">
              <w:rPr>
                <w:color w:val="000000"/>
                <w:sz w:val="22"/>
                <w:szCs w:val="22"/>
                <w:lang w:val="en-IN" w:eastAsia="en-IN"/>
              </w:rPr>
              <w:t>6181</w:t>
            </w:r>
          </w:p>
        </w:tc>
        <w:tc>
          <w:tcPr>
            <w:tcW w:w="730" w:type="pct"/>
            <w:tcBorders>
              <w:top w:val="nil"/>
              <w:left w:val="nil"/>
              <w:bottom w:val="single" w:sz="4" w:space="0" w:color="auto"/>
              <w:right w:val="single" w:sz="4" w:space="0" w:color="auto"/>
            </w:tcBorders>
            <w:shd w:val="clear" w:color="auto" w:fill="auto"/>
            <w:noWrap/>
            <w:vAlign w:val="center"/>
            <w:hideMark/>
          </w:tcPr>
          <w:p w:rsidR="009846CC" w:rsidRPr="009A6247" w:rsidRDefault="009846CC" w:rsidP="00735CAB">
            <w:pPr>
              <w:spacing w:line="240" w:lineRule="auto"/>
              <w:jc w:val="right"/>
              <w:rPr>
                <w:color w:val="000000"/>
                <w:sz w:val="22"/>
                <w:szCs w:val="22"/>
                <w:lang w:val="en-IN" w:eastAsia="en-IN"/>
              </w:rPr>
            </w:pPr>
            <w:r w:rsidRPr="009A6247">
              <w:rPr>
                <w:color w:val="000000"/>
                <w:sz w:val="22"/>
                <w:szCs w:val="22"/>
                <w:lang w:val="en-IN" w:eastAsia="en-IN"/>
              </w:rPr>
              <w:t>6243</w:t>
            </w:r>
          </w:p>
        </w:tc>
        <w:tc>
          <w:tcPr>
            <w:tcW w:w="837" w:type="pct"/>
            <w:tcBorders>
              <w:top w:val="nil"/>
              <w:left w:val="nil"/>
              <w:bottom w:val="single" w:sz="4" w:space="0" w:color="auto"/>
              <w:right w:val="single" w:sz="4" w:space="0" w:color="auto"/>
            </w:tcBorders>
            <w:shd w:val="clear" w:color="auto" w:fill="auto"/>
            <w:noWrap/>
            <w:vAlign w:val="center"/>
            <w:hideMark/>
          </w:tcPr>
          <w:p w:rsidR="009846CC" w:rsidRPr="009A6247" w:rsidRDefault="009846CC" w:rsidP="00735CAB">
            <w:pPr>
              <w:spacing w:line="240" w:lineRule="auto"/>
              <w:jc w:val="right"/>
              <w:rPr>
                <w:color w:val="000000"/>
                <w:sz w:val="22"/>
                <w:szCs w:val="22"/>
                <w:lang w:val="en-IN" w:eastAsia="en-IN"/>
              </w:rPr>
            </w:pPr>
            <w:r w:rsidRPr="009A6247">
              <w:rPr>
                <w:color w:val="000000"/>
                <w:sz w:val="22"/>
                <w:szCs w:val="22"/>
                <w:lang w:val="en-IN" w:eastAsia="en-IN"/>
              </w:rPr>
              <w:t>6306</w:t>
            </w:r>
          </w:p>
        </w:tc>
        <w:tc>
          <w:tcPr>
            <w:tcW w:w="784" w:type="pct"/>
            <w:tcBorders>
              <w:top w:val="nil"/>
              <w:left w:val="nil"/>
              <w:bottom w:val="single" w:sz="4" w:space="0" w:color="auto"/>
              <w:right w:val="single" w:sz="4" w:space="0" w:color="auto"/>
            </w:tcBorders>
            <w:shd w:val="clear" w:color="auto" w:fill="auto"/>
            <w:noWrap/>
            <w:vAlign w:val="center"/>
            <w:hideMark/>
          </w:tcPr>
          <w:p w:rsidR="009846CC" w:rsidRPr="009A6247" w:rsidRDefault="009846CC" w:rsidP="00735CAB">
            <w:pPr>
              <w:spacing w:line="240" w:lineRule="auto"/>
              <w:jc w:val="right"/>
              <w:rPr>
                <w:color w:val="000000"/>
                <w:sz w:val="22"/>
                <w:szCs w:val="22"/>
                <w:lang w:val="en-IN" w:eastAsia="en-IN"/>
              </w:rPr>
            </w:pPr>
            <w:r w:rsidRPr="009A6247">
              <w:rPr>
                <w:color w:val="000000"/>
                <w:sz w:val="22"/>
                <w:szCs w:val="22"/>
                <w:lang w:val="en-IN" w:eastAsia="en-IN"/>
              </w:rPr>
              <w:t>6369</w:t>
            </w:r>
          </w:p>
        </w:tc>
      </w:tr>
      <w:tr w:rsidR="009846CC" w:rsidRPr="009F7B0F" w:rsidTr="009A6247">
        <w:trPr>
          <w:trHeight w:val="300"/>
        </w:trPr>
        <w:tc>
          <w:tcPr>
            <w:tcW w:w="1866" w:type="pct"/>
            <w:tcBorders>
              <w:top w:val="nil"/>
              <w:left w:val="single" w:sz="4" w:space="0" w:color="auto"/>
              <w:bottom w:val="single" w:sz="4" w:space="0" w:color="auto"/>
              <w:right w:val="single" w:sz="4" w:space="0" w:color="auto"/>
            </w:tcBorders>
            <w:shd w:val="clear" w:color="auto" w:fill="auto"/>
            <w:vAlign w:val="center"/>
            <w:hideMark/>
          </w:tcPr>
          <w:p w:rsidR="009846CC" w:rsidRPr="009A6247" w:rsidRDefault="009846CC" w:rsidP="00E16426">
            <w:pPr>
              <w:spacing w:line="240" w:lineRule="auto"/>
              <w:jc w:val="left"/>
              <w:rPr>
                <w:color w:val="000000"/>
                <w:sz w:val="22"/>
                <w:szCs w:val="22"/>
                <w:lang w:val="en-IN" w:eastAsia="en-IN"/>
              </w:rPr>
            </w:pPr>
            <w:r w:rsidRPr="009A6247">
              <w:rPr>
                <w:color w:val="000000"/>
                <w:sz w:val="22"/>
                <w:szCs w:val="22"/>
                <w:lang w:val="en-IN" w:eastAsia="en-IN"/>
              </w:rPr>
              <w:t>LT Industrial &amp; water tank</w:t>
            </w:r>
          </w:p>
        </w:tc>
        <w:tc>
          <w:tcPr>
            <w:tcW w:w="784" w:type="pct"/>
            <w:tcBorders>
              <w:top w:val="nil"/>
              <w:left w:val="nil"/>
              <w:bottom w:val="single" w:sz="4" w:space="0" w:color="auto"/>
              <w:right w:val="single" w:sz="4" w:space="0" w:color="auto"/>
            </w:tcBorders>
            <w:shd w:val="clear" w:color="auto" w:fill="auto"/>
            <w:noWrap/>
            <w:vAlign w:val="center"/>
            <w:hideMark/>
          </w:tcPr>
          <w:p w:rsidR="009846CC" w:rsidRPr="009A6247" w:rsidRDefault="009846CC" w:rsidP="00735CAB">
            <w:pPr>
              <w:spacing w:line="240" w:lineRule="auto"/>
              <w:jc w:val="right"/>
              <w:rPr>
                <w:color w:val="000000"/>
                <w:sz w:val="22"/>
                <w:szCs w:val="22"/>
                <w:lang w:val="en-IN" w:eastAsia="en-IN"/>
              </w:rPr>
            </w:pPr>
            <w:r w:rsidRPr="009A6247">
              <w:rPr>
                <w:color w:val="000000"/>
                <w:sz w:val="22"/>
                <w:szCs w:val="22"/>
                <w:lang w:val="en-IN" w:eastAsia="en-IN"/>
              </w:rPr>
              <w:t>127718</w:t>
            </w:r>
          </w:p>
        </w:tc>
        <w:tc>
          <w:tcPr>
            <w:tcW w:w="730" w:type="pct"/>
            <w:tcBorders>
              <w:top w:val="nil"/>
              <w:left w:val="nil"/>
              <w:bottom w:val="single" w:sz="4" w:space="0" w:color="auto"/>
              <w:right w:val="single" w:sz="4" w:space="0" w:color="auto"/>
            </w:tcBorders>
            <w:shd w:val="clear" w:color="auto" w:fill="auto"/>
            <w:noWrap/>
            <w:vAlign w:val="center"/>
            <w:hideMark/>
          </w:tcPr>
          <w:p w:rsidR="009846CC" w:rsidRPr="009A6247" w:rsidRDefault="009846CC" w:rsidP="00735CAB">
            <w:pPr>
              <w:spacing w:line="240" w:lineRule="auto"/>
              <w:jc w:val="right"/>
              <w:rPr>
                <w:color w:val="000000"/>
                <w:sz w:val="22"/>
                <w:szCs w:val="22"/>
                <w:lang w:val="en-IN" w:eastAsia="en-IN"/>
              </w:rPr>
            </w:pPr>
            <w:r w:rsidRPr="009A6247">
              <w:rPr>
                <w:color w:val="000000"/>
                <w:sz w:val="22"/>
                <w:szCs w:val="22"/>
                <w:lang w:val="en-IN" w:eastAsia="en-IN"/>
              </w:rPr>
              <w:t>130242</w:t>
            </w:r>
          </w:p>
        </w:tc>
        <w:tc>
          <w:tcPr>
            <w:tcW w:w="837" w:type="pct"/>
            <w:tcBorders>
              <w:top w:val="nil"/>
              <w:left w:val="nil"/>
              <w:bottom w:val="single" w:sz="4" w:space="0" w:color="auto"/>
              <w:right w:val="single" w:sz="4" w:space="0" w:color="auto"/>
            </w:tcBorders>
            <w:shd w:val="clear" w:color="auto" w:fill="auto"/>
            <w:noWrap/>
            <w:vAlign w:val="center"/>
            <w:hideMark/>
          </w:tcPr>
          <w:p w:rsidR="009846CC" w:rsidRPr="009A6247" w:rsidRDefault="009846CC" w:rsidP="00735CAB">
            <w:pPr>
              <w:spacing w:line="240" w:lineRule="auto"/>
              <w:jc w:val="right"/>
              <w:rPr>
                <w:color w:val="000000"/>
                <w:sz w:val="22"/>
                <w:szCs w:val="22"/>
                <w:lang w:val="en-IN" w:eastAsia="en-IN"/>
              </w:rPr>
            </w:pPr>
            <w:r w:rsidRPr="009A6247">
              <w:rPr>
                <w:color w:val="000000"/>
                <w:sz w:val="22"/>
                <w:szCs w:val="22"/>
                <w:lang w:val="en-IN" w:eastAsia="en-IN"/>
              </w:rPr>
              <w:t>132815</w:t>
            </w:r>
          </w:p>
        </w:tc>
        <w:tc>
          <w:tcPr>
            <w:tcW w:w="784" w:type="pct"/>
            <w:tcBorders>
              <w:top w:val="nil"/>
              <w:left w:val="nil"/>
              <w:bottom w:val="single" w:sz="4" w:space="0" w:color="auto"/>
              <w:right w:val="single" w:sz="4" w:space="0" w:color="auto"/>
            </w:tcBorders>
            <w:shd w:val="clear" w:color="auto" w:fill="auto"/>
            <w:noWrap/>
            <w:vAlign w:val="center"/>
            <w:hideMark/>
          </w:tcPr>
          <w:p w:rsidR="009846CC" w:rsidRPr="009A6247" w:rsidRDefault="009846CC" w:rsidP="00735CAB">
            <w:pPr>
              <w:spacing w:line="240" w:lineRule="auto"/>
              <w:jc w:val="right"/>
              <w:rPr>
                <w:color w:val="000000"/>
                <w:sz w:val="22"/>
                <w:szCs w:val="22"/>
                <w:lang w:val="en-IN" w:eastAsia="en-IN"/>
              </w:rPr>
            </w:pPr>
            <w:r w:rsidRPr="009A6247">
              <w:rPr>
                <w:color w:val="000000"/>
                <w:sz w:val="22"/>
                <w:szCs w:val="22"/>
                <w:lang w:val="en-IN" w:eastAsia="en-IN"/>
              </w:rPr>
              <w:t>135439</w:t>
            </w:r>
          </w:p>
        </w:tc>
      </w:tr>
      <w:tr w:rsidR="009846CC" w:rsidRPr="009F7B0F" w:rsidTr="009A6247">
        <w:trPr>
          <w:trHeight w:val="300"/>
        </w:trPr>
        <w:tc>
          <w:tcPr>
            <w:tcW w:w="1866" w:type="pct"/>
            <w:tcBorders>
              <w:top w:val="nil"/>
              <w:left w:val="single" w:sz="4" w:space="0" w:color="auto"/>
              <w:bottom w:val="single" w:sz="4" w:space="0" w:color="auto"/>
              <w:right w:val="single" w:sz="4" w:space="0" w:color="auto"/>
            </w:tcBorders>
            <w:shd w:val="clear" w:color="auto" w:fill="auto"/>
            <w:vAlign w:val="center"/>
            <w:hideMark/>
          </w:tcPr>
          <w:p w:rsidR="009846CC" w:rsidRPr="009A6247" w:rsidRDefault="009846CC" w:rsidP="00E16426">
            <w:pPr>
              <w:spacing w:line="240" w:lineRule="auto"/>
              <w:jc w:val="left"/>
              <w:rPr>
                <w:color w:val="000000"/>
                <w:sz w:val="22"/>
                <w:szCs w:val="22"/>
                <w:lang w:val="en-IN" w:eastAsia="en-IN"/>
              </w:rPr>
            </w:pPr>
            <w:r w:rsidRPr="009A6247">
              <w:rPr>
                <w:color w:val="000000"/>
                <w:sz w:val="22"/>
                <w:szCs w:val="22"/>
                <w:lang w:val="en-IN" w:eastAsia="en-IN"/>
              </w:rPr>
              <w:t>HT 1</w:t>
            </w:r>
          </w:p>
        </w:tc>
        <w:tc>
          <w:tcPr>
            <w:tcW w:w="784" w:type="pct"/>
            <w:tcBorders>
              <w:top w:val="nil"/>
              <w:left w:val="nil"/>
              <w:bottom w:val="single" w:sz="4" w:space="0" w:color="auto"/>
              <w:right w:val="single" w:sz="4" w:space="0" w:color="auto"/>
            </w:tcBorders>
            <w:shd w:val="clear" w:color="auto" w:fill="auto"/>
            <w:noWrap/>
            <w:vAlign w:val="center"/>
            <w:hideMark/>
          </w:tcPr>
          <w:p w:rsidR="009846CC" w:rsidRPr="009A6247" w:rsidRDefault="009846CC" w:rsidP="00735CAB">
            <w:pPr>
              <w:spacing w:line="240" w:lineRule="auto"/>
              <w:jc w:val="right"/>
              <w:rPr>
                <w:color w:val="000000"/>
                <w:sz w:val="22"/>
                <w:szCs w:val="22"/>
                <w:lang w:val="en-IN" w:eastAsia="en-IN"/>
              </w:rPr>
            </w:pPr>
            <w:r w:rsidRPr="009A6247">
              <w:rPr>
                <w:color w:val="000000"/>
                <w:sz w:val="22"/>
                <w:szCs w:val="22"/>
                <w:lang w:val="en-IN" w:eastAsia="en-IN"/>
              </w:rPr>
              <w:t>361298</w:t>
            </w:r>
          </w:p>
        </w:tc>
        <w:tc>
          <w:tcPr>
            <w:tcW w:w="730" w:type="pct"/>
            <w:tcBorders>
              <w:top w:val="nil"/>
              <w:left w:val="nil"/>
              <w:bottom w:val="single" w:sz="4" w:space="0" w:color="auto"/>
              <w:right w:val="single" w:sz="4" w:space="0" w:color="auto"/>
            </w:tcBorders>
            <w:shd w:val="clear" w:color="auto" w:fill="auto"/>
            <w:noWrap/>
            <w:vAlign w:val="center"/>
            <w:hideMark/>
          </w:tcPr>
          <w:p w:rsidR="009846CC" w:rsidRPr="009A6247" w:rsidRDefault="009846CC" w:rsidP="00735CAB">
            <w:pPr>
              <w:spacing w:line="240" w:lineRule="auto"/>
              <w:jc w:val="right"/>
              <w:rPr>
                <w:color w:val="000000"/>
                <w:sz w:val="22"/>
                <w:szCs w:val="22"/>
                <w:lang w:val="en-IN" w:eastAsia="en-IN"/>
              </w:rPr>
            </w:pPr>
            <w:r w:rsidRPr="009A6247">
              <w:rPr>
                <w:color w:val="000000"/>
                <w:sz w:val="22"/>
                <w:szCs w:val="22"/>
                <w:lang w:val="en-IN" w:eastAsia="en-IN"/>
              </w:rPr>
              <w:t>373107</w:t>
            </w:r>
          </w:p>
        </w:tc>
        <w:tc>
          <w:tcPr>
            <w:tcW w:w="837" w:type="pct"/>
            <w:tcBorders>
              <w:top w:val="nil"/>
              <w:left w:val="nil"/>
              <w:bottom w:val="single" w:sz="4" w:space="0" w:color="auto"/>
              <w:right w:val="single" w:sz="4" w:space="0" w:color="auto"/>
            </w:tcBorders>
            <w:shd w:val="clear" w:color="auto" w:fill="auto"/>
            <w:noWrap/>
            <w:vAlign w:val="center"/>
            <w:hideMark/>
          </w:tcPr>
          <w:p w:rsidR="009846CC" w:rsidRPr="009A6247" w:rsidRDefault="009846CC" w:rsidP="00735CAB">
            <w:pPr>
              <w:spacing w:line="240" w:lineRule="auto"/>
              <w:jc w:val="right"/>
              <w:rPr>
                <w:color w:val="000000"/>
                <w:sz w:val="22"/>
                <w:szCs w:val="22"/>
                <w:lang w:val="en-IN" w:eastAsia="en-IN"/>
              </w:rPr>
            </w:pPr>
            <w:r w:rsidRPr="009A6247">
              <w:rPr>
                <w:color w:val="000000"/>
                <w:sz w:val="22"/>
                <w:szCs w:val="22"/>
                <w:lang w:val="en-IN" w:eastAsia="en-IN"/>
              </w:rPr>
              <w:t>385302</w:t>
            </w:r>
          </w:p>
        </w:tc>
        <w:tc>
          <w:tcPr>
            <w:tcW w:w="784" w:type="pct"/>
            <w:tcBorders>
              <w:top w:val="nil"/>
              <w:left w:val="nil"/>
              <w:bottom w:val="single" w:sz="4" w:space="0" w:color="auto"/>
              <w:right w:val="single" w:sz="4" w:space="0" w:color="auto"/>
            </w:tcBorders>
            <w:shd w:val="clear" w:color="auto" w:fill="auto"/>
            <w:noWrap/>
            <w:vAlign w:val="center"/>
            <w:hideMark/>
          </w:tcPr>
          <w:p w:rsidR="009846CC" w:rsidRPr="009A6247" w:rsidRDefault="009846CC" w:rsidP="00735CAB">
            <w:pPr>
              <w:spacing w:line="240" w:lineRule="auto"/>
              <w:jc w:val="right"/>
              <w:rPr>
                <w:color w:val="000000"/>
                <w:sz w:val="22"/>
                <w:szCs w:val="22"/>
                <w:lang w:val="en-IN" w:eastAsia="en-IN"/>
              </w:rPr>
            </w:pPr>
            <w:r w:rsidRPr="009A6247">
              <w:rPr>
                <w:color w:val="000000"/>
                <w:sz w:val="22"/>
                <w:szCs w:val="22"/>
                <w:lang w:val="en-IN" w:eastAsia="en-IN"/>
              </w:rPr>
              <w:t>397896</w:t>
            </w:r>
          </w:p>
        </w:tc>
      </w:tr>
      <w:tr w:rsidR="009846CC" w:rsidRPr="009F7B0F" w:rsidTr="009A6247">
        <w:trPr>
          <w:trHeight w:val="300"/>
        </w:trPr>
        <w:tc>
          <w:tcPr>
            <w:tcW w:w="1866" w:type="pct"/>
            <w:tcBorders>
              <w:top w:val="nil"/>
              <w:left w:val="single" w:sz="4" w:space="0" w:color="auto"/>
              <w:bottom w:val="single" w:sz="4" w:space="0" w:color="auto"/>
              <w:right w:val="single" w:sz="4" w:space="0" w:color="auto"/>
            </w:tcBorders>
            <w:shd w:val="clear" w:color="auto" w:fill="auto"/>
            <w:vAlign w:val="center"/>
            <w:hideMark/>
          </w:tcPr>
          <w:p w:rsidR="009846CC" w:rsidRPr="009A6247" w:rsidRDefault="009846CC" w:rsidP="00E16426">
            <w:pPr>
              <w:spacing w:line="240" w:lineRule="auto"/>
              <w:jc w:val="left"/>
              <w:rPr>
                <w:color w:val="000000"/>
                <w:sz w:val="22"/>
                <w:szCs w:val="22"/>
                <w:lang w:val="en-IN" w:eastAsia="en-IN"/>
              </w:rPr>
            </w:pPr>
            <w:r w:rsidRPr="009A6247">
              <w:rPr>
                <w:color w:val="000000"/>
                <w:sz w:val="22"/>
                <w:szCs w:val="22"/>
                <w:lang w:val="en-IN" w:eastAsia="en-IN"/>
              </w:rPr>
              <w:t>HT 2 - Government &amp; water tank</w:t>
            </w:r>
          </w:p>
        </w:tc>
        <w:tc>
          <w:tcPr>
            <w:tcW w:w="784" w:type="pct"/>
            <w:tcBorders>
              <w:top w:val="nil"/>
              <w:left w:val="nil"/>
              <w:bottom w:val="single" w:sz="4" w:space="0" w:color="auto"/>
              <w:right w:val="single" w:sz="4" w:space="0" w:color="auto"/>
            </w:tcBorders>
            <w:shd w:val="clear" w:color="auto" w:fill="auto"/>
            <w:noWrap/>
            <w:vAlign w:val="center"/>
            <w:hideMark/>
          </w:tcPr>
          <w:p w:rsidR="009846CC" w:rsidRPr="009A6247" w:rsidRDefault="009846CC" w:rsidP="00735CAB">
            <w:pPr>
              <w:spacing w:line="240" w:lineRule="auto"/>
              <w:jc w:val="right"/>
              <w:rPr>
                <w:color w:val="000000"/>
                <w:sz w:val="22"/>
                <w:szCs w:val="22"/>
                <w:lang w:val="en-IN" w:eastAsia="en-IN"/>
              </w:rPr>
            </w:pPr>
            <w:r w:rsidRPr="009A6247">
              <w:rPr>
                <w:color w:val="000000"/>
                <w:sz w:val="22"/>
                <w:szCs w:val="22"/>
                <w:lang w:val="en-IN" w:eastAsia="en-IN"/>
              </w:rPr>
              <w:t>32029</w:t>
            </w:r>
          </w:p>
        </w:tc>
        <w:tc>
          <w:tcPr>
            <w:tcW w:w="730" w:type="pct"/>
            <w:tcBorders>
              <w:top w:val="nil"/>
              <w:left w:val="nil"/>
              <w:bottom w:val="single" w:sz="4" w:space="0" w:color="auto"/>
              <w:right w:val="single" w:sz="4" w:space="0" w:color="auto"/>
            </w:tcBorders>
            <w:shd w:val="clear" w:color="auto" w:fill="auto"/>
            <w:noWrap/>
            <w:vAlign w:val="center"/>
            <w:hideMark/>
          </w:tcPr>
          <w:p w:rsidR="009846CC" w:rsidRPr="009A6247" w:rsidRDefault="009846CC" w:rsidP="00735CAB">
            <w:pPr>
              <w:spacing w:line="240" w:lineRule="auto"/>
              <w:jc w:val="right"/>
              <w:rPr>
                <w:color w:val="000000"/>
                <w:sz w:val="22"/>
                <w:szCs w:val="22"/>
                <w:lang w:val="en-IN" w:eastAsia="en-IN"/>
              </w:rPr>
            </w:pPr>
            <w:r w:rsidRPr="009A6247">
              <w:rPr>
                <w:color w:val="000000"/>
                <w:sz w:val="22"/>
                <w:szCs w:val="22"/>
                <w:lang w:val="en-IN" w:eastAsia="en-IN"/>
              </w:rPr>
              <w:t>35232</w:t>
            </w:r>
          </w:p>
        </w:tc>
        <w:tc>
          <w:tcPr>
            <w:tcW w:w="837" w:type="pct"/>
            <w:tcBorders>
              <w:top w:val="nil"/>
              <w:left w:val="nil"/>
              <w:bottom w:val="single" w:sz="4" w:space="0" w:color="auto"/>
              <w:right w:val="single" w:sz="4" w:space="0" w:color="auto"/>
            </w:tcBorders>
            <w:shd w:val="clear" w:color="auto" w:fill="auto"/>
            <w:noWrap/>
            <w:vAlign w:val="center"/>
            <w:hideMark/>
          </w:tcPr>
          <w:p w:rsidR="009846CC" w:rsidRPr="009A6247" w:rsidRDefault="009846CC" w:rsidP="00735CAB">
            <w:pPr>
              <w:spacing w:line="240" w:lineRule="auto"/>
              <w:jc w:val="right"/>
              <w:rPr>
                <w:color w:val="000000"/>
                <w:sz w:val="22"/>
                <w:szCs w:val="22"/>
                <w:lang w:val="en-IN" w:eastAsia="en-IN"/>
              </w:rPr>
            </w:pPr>
            <w:r w:rsidRPr="009A6247">
              <w:rPr>
                <w:color w:val="000000"/>
                <w:sz w:val="22"/>
                <w:szCs w:val="22"/>
                <w:lang w:val="en-IN" w:eastAsia="en-IN"/>
              </w:rPr>
              <w:t>38755</w:t>
            </w:r>
          </w:p>
        </w:tc>
        <w:tc>
          <w:tcPr>
            <w:tcW w:w="784" w:type="pct"/>
            <w:tcBorders>
              <w:top w:val="nil"/>
              <w:left w:val="nil"/>
              <w:bottom w:val="single" w:sz="4" w:space="0" w:color="auto"/>
              <w:right w:val="single" w:sz="4" w:space="0" w:color="auto"/>
            </w:tcBorders>
            <w:shd w:val="clear" w:color="auto" w:fill="auto"/>
            <w:noWrap/>
            <w:vAlign w:val="center"/>
            <w:hideMark/>
          </w:tcPr>
          <w:p w:rsidR="009846CC" w:rsidRPr="009A6247" w:rsidRDefault="009846CC" w:rsidP="00735CAB">
            <w:pPr>
              <w:spacing w:line="240" w:lineRule="auto"/>
              <w:jc w:val="right"/>
              <w:rPr>
                <w:color w:val="000000"/>
                <w:sz w:val="22"/>
                <w:szCs w:val="22"/>
                <w:lang w:val="en-IN" w:eastAsia="en-IN"/>
              </w:rPr>
            </w:pPr>
            <w:r w:rsidRPr="009A6247">
              <w:rPr>
                <w:color w:val="000000"/>
                <w:sz w:val="22"/>
                <w:szCs w:val="22"/>
                <w:lang w:val="en-IN" w:eastAsia="en-IN"/>
              </w:rPr>
              <w:t>42630</w:t>
            </w:r>
          </w:p>
        </w:tc>
      </w:tr>
      <w:tr w:rsidR="009846CC" w:rsidRPr="009F7B0F" w:rsidTr="009A6247">
        <w:trPr>
          <w:trHeight w:val="300"/>
        </w:trPr>
        <w:tc>
          <w:tcPr>
            <w:tcW w:w="1866" w:type="pct"/>
            <w:tcBorders>
              <w:top w:val="nil"/>
              <w:left w:val="single" w:sz="4" w:space="0" w:color="auto"/>
              <w:bottom w:val="single" w:sz="4" w:space="0" w:color="auto"/>
              <w:right w:val="single" w:sz="4" w:space="0" w:color="auto"/>
            </w:tcBorders>
            <w:shd w:val="clear" w:color="auto" w:fill="auto"/>
            <w:vAlign w:val="center"/>
            <w:hideMark/>
          </w:tcPr>
          <w:p w:rsidR="009846CC" w:rsidRPr="009A6247" w:rsidRDefault="009846CC" w:rsidP="00E16426">
            <w:pPr>
              <w:spacing w:line="240" w:lineRule="auto"/>
              <w:jc w:val="left"/>
              <w:rPr>
                <w:color w:val="000000"/>
                <w:sz w:val="22"/>
                <w:szCs w:val="22"/>
                <w:lang w:val="en-IN" w:eastAsia="en-IN"/>
              </w:rPr>
            </w:pPr>
            <w:r w:rsidRPr="009A6247">
              <w:rPr>
                <w:color w:val="000000"/>
                <w:sz w:val="22"/>
                <w:szCs w:val="22"/>
                <w:lang w:val="en-IN" w:eastAsia="en-IN"/>
              </w:rPr>
              <w:t>HT 3 – EHT</w:t>
            </w:r>
          </w:p>
        </w:tc>
        <w:tc>
          <w:tcPr>
            <w:tcW w:w="784" w:type="pct"/>
            <w:tcBorders>
              <w:top w:val="nil"/>
              <w:left w:val="nil"/>
              <w:bottom w:val="single" w:sz="4" w:space="0" w:color="auto"/>
              <w:right w:val="single" w:sz="4" w:space="0" w:color="auto"/>
            </w:tcBorders>
            <w:shd w:val="clear" w:color="auto" w:fill="auto"/>
            <w:noWrap/>
            <w:vAlign w:val="center"/>
            <w:hideMark/>
          </w:tcPr>
          <w:p w:rsidR="009846CC" w:rsidRPr="009A6247" w:rsidRDefault="009846CC" w:rsidP="00735CAB">
            <w:pPr>
              <w:spacing w:line="240" w:lineRule="auto"/>
              <w:jc w:val="right"/>
              <w:rPr>
                <w:color w:val="000000"/>
                <w:sz w:val="22"/>
                <w:szCs w:val="22"/>
                <w:lang w:val="en-IN" w:eastAsia="en-IN"/>
              </w:rPr>
            </w:pPr>
            <w:r w:rsidRPr="009A6247">
              <w:rPr>
                <w:color w:val="000000"/>
                <w:sz w:val="22"/>
                <w:szCs w:val="22"/>
                <w:lang w:val="en-IN" w:eastAsia="en-IN"/>
              </w:rPr>
              <w:t>126958</w:t>
            </w:r>
          </w:p>
        </w:tc>
        <w:tc>
          <w:tcPr>
            <w:tcW w:w="730" w:type="pct"/>
            <w:tcBorders>
              <w:top w:val="nil"/>
              <w:left w:val="nil"/>
              <w:bottom w:val="single" w:sz="4" w:space="0" w:color="auto"/>
              <w:right w:val="single" w:sz="4" w:space="0" w:color="auto"/>
            </w:tcBorders>
            <w:shd w:val="clear" w:color="auto" w:fill="auto"/>
            <w:noWrap/>
            <w:vAlign w:val="center"/>
            <w:hideMark/>
          </w:tcPr>
          <w:p w:rsidR="009846CC" w:rsidRPr="009A6247" w:rsidRDefault="009846CC" w:rsidP="00735CAB">
            <w:pPr>
              <w:spacing w:line="240" w:lineRule="auto"/>
              <w:jc w:val="right"/>
              <w:rPr>
                <w:color w:val="000000"/>
                <w:sz w:val="22"/>
                <w:szCs w:val="22"/>
                <w:lang w:val="en-IN" w:eastAsia="en-IN"/>
              </w:rPr>
            </w:pPr>
            <w:r w:rsidRPr="009A6247">
              <w:rPr>
                <w:color w:val="000000"/>
                <w:sz w:val="22"/>
                <w:szCs w:val="22"/>
                <w:lang w:val="en-IN" w:eastAsia="en-IN"/>
              </w:rPr>
              <w:t>133291</w:t>
            </w:r>
          </w:p>
        </w:tc>
        <w:tc>
          <w:tcPr>
            <w:tcW w:w="837" w:type="pct"/>
            <w:tcBorders>
              <w:top w:val="nil"/>
              <w:left w:val="nil"/>
              <w:bottom w:val="single" w:sz="4" w:space="0" w:color="auto"/>
              <w:right w:val="single" w:sz="4" w:space="0" w:color="auto"/>
            </w:tcBorders>
            <w:shd w:val="clear" w:color="auto" w:fill="auto"/>
            <w:noWrap/>
            <w:vAlign w:val="center"/>
            <w:hideMark/>
          </w:tcPr>
          <w:p w:rsidR="009846CC" w:rsidRPr="009A6247" w:rsidRDefault="009846CC" w:rsidP="00735CAB">
            <w:pPr>
              <w:spacing w:line="240" w:lineRule="auto"/>
              <w:jc w:val="right"/>
              <w:rPr>
                <w:color w:val="000000"/>
                <w:sz w:val="22"/>
                <w:szCs w:val="22"/>
                <w:lang w:val="en-IN" w:eastAsia="en-IN"/>
              </w:rPr>
            </w:pPr>
            <w:r w:rsidRPr="009A6247">
              <w:rPr>
                <w:color w:val="000000"/>
                <w:sz w:val="22"/>
                <w:szCs w:val="22"/>
                <w:lang w:val="en-IN" w:eastAsia="en-IN"/>
              </w:rPr>
              <w:t>139940</w:t>
            </w:r>
          </w:p>
        </w:tc>
        <w:tc>
          <w:tcPr>
            <w:tcW w:w="784" w:type="pct"/>
            <w:tcBorders>
              <w:top w:val="nil"/>
              <w:left w:val="nil"/>
              <w:bottom w:val="single" w:sz="4" w:space="0" w:color="auto"/>
              <w:right w:val="single" w:sz="4" w:space="0" w:color="auto"/>
            </w:tcBorders>
            <w:shd w:val="clear" w:color="auto" w:fill="auto"/>
            <w:noWrap/>
            <w:vAlign w:val="center"/>
            <w:hideMark/>
          </w:tcPr>
          <w:p w:rsidR="009846CC" w:rsidRPr="009A6247" w:rsidRDefault="009846CC" w:rsidP="00735CAB">
            <w:pPr>
              <w:spacing w:line="240" w:lineRule="auto"/>
              <w:jc w:val="right"/>
              <w:rPr>
                <w:color w:val="000000"/>
                <w:sz w:val="22"/>
                <w:szCs w:val="22"/>
                <w:lang w:val="en-IN" w:eastAsia="en-IN"/>
              </w:rPr>
            </w:pPr>
            <w:r w:rsidRPr="009A6247">
              <w:rPr>
                <w:color w:val="000000"/>
                <w:sz w:val="22"/>
                <w:szCs w:val="22"/>
                <w:lang w:val="en-IN" w:eastAsia="en-IN"/>
              </w:rPr>
              <w:t>146921</w:t>
            </w:r>
          </w:p>
        </w:tc>
      </w:tr>
      <w:tr w:rsidR="009846CC" w:rsidRPr="009F7B0F" w:rsidTr="009A6247">
        <w:trPr>
          <w:trHeight w:val="300"/>
        </w:trPr>
        <w:tc>
          <w:tcPr>
            <w:tcW w:w="1866" w:type="pct"/>
            <w:tcBorders>
              <w:top w:val="nil"/>
              <w:left w:val="single" w:sz="4" w:space="0" w:color="auto"/>
              <w:bottom w:val="single" w:sz="4" w:space="0" w:color="auto"/>
              <w:right w:val="single" w:sz="4" w:space="0" w:color="auto"/>
            </w:tcBorders>
            <w:shd w:val="clear" w:color="000000" w:fill="44546A"/>
            <w:noWrap/>
            <w:vAlign w:val="center"/>
            <w:hideMark/>
          </w:tcPr>
          <w:p w:rsidR="009846CC" w:rsidRPr="009F7B0F" w:rsidRDefault="009846CC" w:rsidP="00E16426">
            <w:pPr>
              <w:spacing w:line="240" w:lineRule="auto"/>
              <w:jc w:val="center"/>
              <w:rPr>
                <w:b/>
                <w:bCs/>
                <w:color w:val="FFFFFF"/>
                <w:sz w:val="22"/>
                <w:szCs w:val="22"/>
                <w:lang w:val="en-IN" w:eastAsia="en-IN"/>
              </w:rPr>
            </w:pPr>
            <w:r w:rsidRPr="009F7B0F">
              <w:rPr>
                <w:b/>
                <w:bCs/>
                <w:color w:val="FFFFFF"/>
                <w:sz w:val="22"/>
                <w:szCs w:val="22"/>
                <w:lang w:val="en-IN" w:eastAsia="en-IN"/>
              </w:rPr>
              <w:t>Total</w:t>
            </w:r>
          </w:p>
        </w:tc>
        <w:tc>
          <w:tcPr>
            <w:tcW w:w="784" w:type="pct"/>
            <w:tcBorders>
              <w:top w:val="nil"/>
              <w:left w:val="nil"/>
              <w:bottom w:val="single" w:sz="4" w:space="0" w:color="auto"/>
              <w:right w:val="single" w:sz="4" w:space="0" w:color="auto"/>
            </w:tcBorders>
            <w:shd w:val="clear" w:color="000000" w:fill="44546A"/>
            <w:noWrap/>
            <w:vAlign w:val="center"/>
            <w:hideMark/>
          </w:tcPr>
          <w:p w:rsidR="009846CC" w:rsidRPr="009F7B0F" w:rsidRDefault="009846CC" w:rsidP="00735CAB">
            <w:pPr>
              <w:spacing w:line="240" w:lineRule="auto"/>
              <w:jc w:val="right"/>
              <w:rPr>
                <w:b/>
                <w:bCs/>
                <w:color w:val="FFFFFF"/>
                <w:sz w:val="22"/>
                <w:szCs w:val="22"/>
                <w:lang w:val="en-IN" w:eastAsia="en-IN"/>
              </w:rPr>
            </w:pPr>
            <w:r w:rsidRPr="009F7B0F">
              <w:rPr>
                <w:b/>
                <w:bCs/>
                <w:color w:val="FFFFFF"/>
                <w:sz w:val="22"/>
                <w:szCs w:val="22"/>
                <w:lang w:val="en-IN" w:eastAsia="en-IN"/>
              </w:rPr>
              <w:t>1387248</w:t>
            </w:r>
          </w:p>
        </w:tc>
        <w:tc>
          <w:tcPr>
            <w:tcW w:w="730" w:type="pct"/>
            <w:tcBorders>
              <w:top w:val="nil"/>
              <w:left w:val="nil"/>
              <w:bottom w:val="single" w:sz="4" w:space="0" w:color="auto"/>
              <w:right w:val="single" w:sz="4" w:space="0" w:color="auto"/>
            </w:tcBorders>
            <w:shd w:val="clear" w:color="000000" w:fill="44546A"/>
            <w:noWrap/>
            <w:vAlign w:val="center"/>
            <w:hideMark/>
          </w:tcPr>
          <w:p w:rsidR="009846CC" w:rsidRPr="009F7B0F" w:rsidRDefault="009846CC" w:rsidP="00735CAB">
            <w:pPr>
              <w:spacing w:line="240" w:lineRule="auto"/>
              <w:jc w:val="right"/>
              <w:rPr>
                <w:b/>
                <w:bCs/>
                <w:color w:val="FFFFFF"/>
                <w:sz w:val="22"/>
                <w:szCs w:val="22"/>
                <w:lang w:val="en-IN" w:eastAsia="en-IN"/>
              </w:rPr>
            </w:pPr>
            <w:r w:rsidRPr="009F7B0F">
              <w:rPr>
                <w:b/>
                <w:bCs/>
                <w:color w:val="FFFFFF"/>
                <w:sz w:val="22"/>
                <w:szCs w:val="22"/>
                <w:lang w:val="en-IN" w:eastAsia="en-IN"/>
              </w:rPr>
              <w:t>1447059</w:t>
            </w:r>
          </w:p>
        </w:tc>
        <w:tc>
          <w:tcPr>
            <w:tcW w:w="837" w:type="pct"/>
            <w:tcBorders>
              <w:top w:val="nil"/>
              <w:left w:val="nil"/>
              <w:bottom w:val="single" w:sz="4" w:space="0" w:color="auto"/>
              <w:right w:val="single" w:sz="4" w:space="0" w:color="auto"/>
            </w:tcBorders>
            <w:shd w:val="clear" w:color="000000" w:fill="44546A"/>
            <w:noWrap/>
            <w:vAlign w:val="center"/>
            <w:hideMark/>
          </w:tcPr>
          <w:p w:rsidR="009846CC" w:rsidRPr="009F7B0F" w:rsidRDefault="009846CC" w:rsidP="00735CAB">
            <w:pPr>
              <w:spacing w:line="240" w:lineRule="auto"/>
              <w:jc w:val="right"/>
              <w:rPr>
                <w:b/>
                <w:bCs/>
                <w:color w:val="FFFFFF"/>
                <w:sz w:val="22"/>
                <w:szCs w:val="22"/>
                <w:lang w:val="en-IN" w:eastAsia="en-IN"/>
              </w:rPr>
            </w:pPr>
            <w:r w:rsidRPr="009F7B0F">
              <w:rPr>
                <w:b/>
                <w:bCs/>
                <w:color w:val="FFFFFF"/>
                <w:sz w:val="22"/>
                <w:szCs w:val="22"/>
                <w:lang w:val="en-IN" w:eastAsia="en-IN"/>
              </w:rPr>
              <w:t>1509934</w:t>
            </w:r>
          </w:p>
        </w:tc>
        <w:tc>
          <w:tcPr>
            <w:tcW w:w="784" w:type="pct"/>
            <w:tcBorders>
              <w:top w:val="nil"/>
              <w:left w:val="nil"/>
              <w:bottom w:val="single" w:sz="4" w:space="0" w:color="auto"/>
              <w:right w:val="single" w:sz="4" w:space="0" w:color="auto"/>
            </w:tcBorders>
            <w:shd w:val="clear" w:color="000000" w:fill="44546A"/>
            <w:noWrap/>
            <w:vAlign w:val="center"/>
            <w:hideMark/>
          </w:tcPr>
          <w:p w:rsidR="009846CC" w:rsidRPr="009F7B0F" w:rsidRDefault="009846CC" w:rsidP="00735CAB">
            <w:pPr>
              <w:spacing w:line="240" w:lineRule="auto"/>
              <w:jc w:val="right"/>
              <w:rPr>
                <w:b/>
                <w:bCs/>
                <w:color w:val="FFFFFF"/>
                <w:sz w:val="22"/>
                <w:szCs w:val="22"/>
                <w:lang w:val="en-IN" w:eastAsia="en-IN"/>
              </w:rPr>
            </w:pPr>
            <w:r w:rsidRPr="009F7B0F">
              <w:rPr>
                <w:b/>
                <w:bCs/>
                <w:color w:val="FFFFFF"/>
                <w:sz w:val="22"/>
                <w:szCs w:val="22"/>
                <w:lang w:val="en-IN" w:eastAsia="en-IN"/>
              </w:rPr>
              <w:t>1576052</w:t>
            </w:r>
          </w:p>
        </w:tc>
      </w:tr>
    </w:tbl>
    <w:p w:rsidR="009846CC" w:rsidRDefault="009846CC" w:rsidP="00061AA6">
      <w:pPr>
        <w:pStyle w:val="Caption"/>
      </w:pPr>
    </w:p>
    <w:p w:rsidR="009846CC" w:rsidRDefault="009846CC" w:rsidP="00061AA6">
      <w:pPr>
        <w:pStyle w:val="Caption"/>
      </w:pPr>
      <w:bookmarkStart w:id="103" w:name="_Toc523719574"/>
      <w:r>
        <w:t xml:space="preserve">Table </w:t>
      </w:r>
      <w:r w:rsidR="00140E1B">
        <w:fldChar w:fldCharType="begin"/>
      </w:r>
      <w:r>
        <w:instrText xml:space="preserve"> SEQ Table \* ARABIC </w:instrText>
      </w:r>
      <w:r w:rsidR="00140E1B">
        <w:fldChar w:fldCharType="separate"/>
      </w:r>
      <w:r w:rsidR="004B7EE5">
        <w:rPr>
          <w:noProof/>
        </w:rPr>
        <w:t>15</w:t>
      </w:r>
      <w:r w:rsidR="00140E1B">
        <w:rPr>
          <w:noProof/>
        </w:rPr>
        <w:fldChar w:fldCharType="end"/>
      </w:r>
      <w:r>
        <w:t>: Projection of Consumption during the MYT Control Period</w:t>
      </w:r>
      <w:bookmarkEnd w:id="103"/>
    </w:p>
    <w:tbl>
      <w:tblPr>
        <w:tblW w:w="4889" w:type="pct"/>
        <w:tblLook w:val="04A0"/>
      </w:tblPr>
      <w:tblGrid>
        <w:gridCol w:w="3365"/>
        <w:gridCol w:w="1472"/>
        <w:gridCol w:w="1470"/>
        <w:gridCol w:w="1314"/>
        <w:gridCol w:w="1419"/>
      </w:tblGrid>
      <w:tr w:rsidR="009846CC" w:rsidRPr="009F7B0F" w:rsidTr="009A6247">
        <w:trPr>
          <w:trHeight w:val="300"/>
        </w:trPr>
        <w:tc>
          <w:tcPr>
            <w:tcW w:w="1861" w:type="pct"/>
            <w:vMerge w:val="restart"/>
            <w:tcBorders>
              <w:top w:val="single" w:sz="4" w:space="0" w:color="auto"/>
              <w:left w:val="single" w:sz="4" w:space="0" w:color="auto"/>
              <w:bottom w:val="single" w:sz="4" w:space="0" w:color="auto"/>
              <w:right w:val="single" w:sz="4" w:space="0" w:color="auto"/>
            </w:tcBorders>
            <w:shd w:val="clear" w:color="000000" w:fill="ACB9CA"/>
            <w:noWrap/>
            <w:vAlign w:val="center"/>
            <w:hideMark/>
          </w:tcPr>
          <w:p w:rsidR="009846CC" w:rsidRPr="009F7B0F" w:rsidRDefault="009846CC" w:rsidP="00E16426">
            <w:pPr>
              <w:spacing w:line="240" w:lineRule="auto"/>
              <w:jc w:val="center"/>
              <w:rPr>
                <w:b/>
                <w:bCs/>
                <w:sz w:val="22"/>
                <w:szCs w:val="22"/>
                <w:lang w:val="en-IN" w:eastAsia="en-IN"/>
              </w:rPr>
            </w:pPr>
            <w:r w:rsidRPr="009F7B0F">
              <w:rPr>
                <w:b/>
                <w:bCs/>
                <w:sz w:val="22"/>
                <w:szCs w:val="22"/>
                <w:lang w:val="en-IN" w:eastAsia="en-IN"/>
              </w:rPr>
              <w:t>Sales(MU)</w:t>
            </w:r>
          </w:p>
        </w:tc>
        <w:tc>
          <w:tcPr>
            <w:tcW w:w="814" w:type="pct"/>
            <w:tcBorders>
              <w:top w:val="single" w:sz="4" w:space="0" w:color="auto"/>
              <w:left w:val="nil"/>
              <w:bottom w:val="single" w:sz="4" w:space="0" w:color="auto"/>
              <w:right w:val="nil"/>
            </w:tcBorders>
            <w:shd w:val="clear" w:color="000000" w:fill="ACB9CA"/>
            <w:noWrap/>
            <w:vAlign w:val="center"/>
            <w:hideMark/>
          </w:tcPr>
          <w:p w:rsidR="009846CC" w:rsidRPr="009F7B0F" w:rsidRDefault="009846CC" w:rsidP="00E16426">
            <w:pPr>
              <w:spacing w:line="240" w:lineRule="auto"/>
              <w:jc w:val="left"/>
              <w:rPr>
                <w:b/>
                <w:bCs/>
                <w:color w:val="000000"/>
                <w:sz w:val="22"/>
                <w:szCs w:val="22"/>
                <w:lang w:val="en-IN" w:eastAsia="en-IN"/>
              </w:rPr>
            </w:pPr>
            <w:r w:rsidRPr="009F7B0F">
              <w:rPr>
                <w:b/>
                <w:bCs/>
                <w:color w:val="000000"/>
                <w:sz w:val="22"/>
                <w:szCs w:val="22"/>
                <w:lang w:val="en-IN" w:eastAsia="en-IN"/>
              </w:rPr>
              <w:t>Base Year</w:t>
            </w:r>
          </w:p>
        </w:tc>
        <w:tc>
          <w:tcPr>
            <w:tcW w:w="2325" w:type="pct"/>
            <w:gridSpan w:val="3"/>
            <w:tcBorders>
              <w:top w:val="single" w:sz="4" w:space="0" w:color="auto"/>
              <w:left w:val="single" w:sz="4" w:space="0" w:color="auto"/>
              <w:bottom w:val="single" w:sz="4" w:space="0" w:color="auto"/>
              <w:right w:val="single" w:sz="4" w:space="0" w:color="000000"/>
            </w:tcBorders>
            <w:shd w:val="clear" w:color="000000" w:fill="ACB9CA"/>
            <w:noWrap/>
            <w:vAlign w:val="center"/>
            <w:hideMark/>
          </w:tcPr>
          <w:p w:rsidR="009846CC" w:rsidRPr="009F7B0F" w:rsidRDefault="009846CC" w:rsidP="00E16426">
            <w:pPr>
              <w:spacing w:line="240" w:lineRule="auto"/>
              <w:jc w:val="center"/>
              <w:rPr>
                <w:b/>
                <w:bCs/>
                <w:color w:val="000000"/>
                <w:sz w:val="22"/>
                <w:szCs w:val="22"/>
                <w:lang w:val="en-IN" w:eastAsia="en-IN"/>
              </w:rPr>
            </w:pPr>
            <w:r w:rsidRPr="009F7B0F">
              <w:rPr>
                <w:b/>
                <w:bCs/>
                <w:color w:val="000000"/>
                <w:sz w:val="22"/>
                <w:szCs w:val="22"/>
                <w:lang w:val="en-IN" w:eastAsia="en-IN"/>
              </w:rPr>
              <w:t>Projections</w:t>
            </w:r>
          </w:p>
        </w:tc>
      </w:tr>
      <w:tr w:rsidR="009846CC" w:rsidRPr="009F7B0F" w:rsidTr="009A6247">
        <w:trPr>
          <w:trHeight w:val="300"/>
        </w:trPr>
        <w:tc>
          <w:tcPr>
            <w:tcW w:w="1861" w:type="pct"/>
            <w:vMerge/>
            <w:tcBorders>
              <w:top w:val="single" w:sz="4" w:space="0" w:color="auto"/>
              <w:left w:val="single" w:sz="4" w:space="0" w:color="auto"/>
              <w:bottom w:val="single" w:sz="4" w:space="0" w:color="auto"/>
              <w:right w:val="single" w:sz="4" w:space="0" w:color="auto"/>
            </w:tcBorders>
            <w:vAlign w:val="center"/>
            <w:hideMark/>
          </w:tcPr>
          <w:p w:rsidR="009846CC" w:rsidRPr="009F7B0F" w:rsidRDefault="009846CC" w:rsidP="00E16426">
            <w:pPr>
              <w:spacing w:line="240" w:lineRule="auto"/>
              <w:jc w:val="left"/>
              <w:rPr>
                <w:b/>
                <w:bCs/>
                <w:sz w:val="22"/>
                <w:szCs w:val="22"/>
                <w:lang w:val="en-IN" w:eastAsia="en-IN"/>
              </w:rPr>
            </w:pPr>
          </w:p>
        </w:tc>
        <w:tc>
          <w:tcPr>
            <w:tcW w:w="814" w:type="pct"/>
            <w:tcBorders>
              <w:top w:val="nil"/>
              <w:left w:val="nil"/>
              <w:bottom w:val="single" w:sz="4" w:space="0" w:color="auto"/>
              <w:right w:val="single" w:sz="4" w:space="0" w:color="auto"/>
            </w:tcBorders>
            <w:shd w:val="clear" w:color="000000" w:fill="ACB9CA"/>
            <w:noWrap/>
            <w:vAlign w:val="center"/>
            <w:hideMark/>
          </w:tcPr>
          <w:p w:rsidR="009846CC" w:rsidRPr="009F7B0F" w:rsidRDefault="009846CC" w:rsidP="00E16426">
            <w:pPr>
              <w:spacing w:line="240" w:lineRule="auto"/>
              <w:jc w:val="center"/>
              <w:rPr>
                <w:b/>
                <w:bCs/>
                <w:color w:val="000000"/>
                <w:sz w:val="22"/>
                <w:szCs w:val="22"/>
                <w:lang w:val="en-IN" w:eastAsia="en-IN"/>
              </w:rPr>
            </w:pPr>
            <w:r w:rsidRPr="009F7B0F">
              <w:rPr>
                <w:b/>
                <w:bCs/>
                <w:color w:val="000000"/>
                <w:sz w:val="22"/>
                <w:szCs w:val="22"/>
                <w:lang w:val="en-IN" w:eastAsia="en-IN"/>
              </w:rPr>
              <w:t>FY 2018-19</w:t>
            </w:r>
          </w:p>
        </w:tc>
        <w:tc>
          <w:tcPr>
            <w:tcW w:w="813" w:type="pct"/>
            <w:tcBorders>
              <w:top w:val="nil"/>
              <w:left w:val="nil"/>
              <w:bottom w:val="single" w:sz="4" w:space="0" w:color="auto"/>
              <w:right w:val="single" w:sz="4" w:space="0" w:color="auto"/>
            </w:tcBorders>
            <w:shd w:val="clear" w:color="000000" w:fill="ACB9CA"/>
            <w:noWrap/>
            <w:vAlign w:val="center"/>
            <w:hideMark/>
          </w:tcPr>
          <w:p w:rsidR="009846CC" w:rsidRPr="009F7B0F" w:rsidRDefault="009846CC" w:rsidP="00E16426">
            <w:pPr>
              <w:spacing w:line="240" w:lineRule="auto"/>
              <w:jc w:val="center"/>
              <w:rPr>
                <w:b/>
                <w:bCs/>
                <w:color w:val="000000"/>
                <w:sz w:val="22"/>
                <w:szCs w:val="22"/>
                <w:lang w:val="en-IN" w:eastAsia="en-IN"/>
              </w:rPr>
            </w:pPr>
            <w:r w:rsidRPr="009F7B0F">
              <w:rPr>
                <w:b/>
                <w:bCs/>
                <w:color w:val="000000"/>
                <w:sz w:val="22"/>
                <w:szCs w:val="22"/>
                <w:lang w:val="en-IN" w:eastAsia="en-IN"/>
              </w:rPr>
              <w:t>FY 2019-20</w:t>
            </w:r>
          </w:p>
        </w:tc>
        <w:tc>
          <w:tcPr>
            <w:tcW w:w="727" w:type="pct"/>
            <w:tcBorders>
              <w:top w:val="nil"/>
              <w:left w:val="nil"/>
              <w:bottom w:val="single" w:sz="4" w:space="0" w:color="auto"/>
              <w:right w:val="single" w:sz="4" w:space="0" w:color="auto"/>
            </w:tcBorders>
            <w:shd w:val="clear" w:color="000000" w:fill="ACB9CA"/>
            <w:noWrap/>
            <w:vAlign w:val="center"/>
            <w:hideMark/>
          </w:tcPr>
          <w:p w:rsidR="009846CC" w:rsidRPr="009F7B0F" w:rsidRDefault="009846CC" w:rsidP="00E16426">
            <w:pPr>
              <w:spacing w:line="240" w:lineRule="auto"/>
              <w:jc w:val="center"/>
              <w:rPr>
                <w:b/>
                <w:bCs/>
                <w:color w:val="000000"/>
                <w:sz w:val="22"/>
                <w:szCs w:val="22"/>
                <w:lang w:val="en-IN" w:eastAsia="en-IN"/>
              </w:rPr>
            </w:pPr>
            <w:r w:rsidRPr="009F7B0F">
              <w:rPr>
                <w:b/>
                <w:bCs/>
                <w:color w:val="000000"/>
                <w:sz w:val="22"/>
                <w:szCs w:val="22"/>
                <w:lang w:val="en-IN" w:eastAsia="en-IN"/>
              </w:rPr>
              <w:t>FY 2020-21</w:t>
            </w:r>
          </w:p>
        </w:tc>
        <w:tc>
          <w:tcPr>
            <w:tcW w:w="785" w:type="pct"/>
            <w:tcBorders>
              <w:top w:val="nil"/>
              <w:left w:val="nil"/>
              <w:bottom w:val="single" w:sz="4" w:space="0" w:color="auto"/>
              <w:right w:val="single" w:sz="4" w:space="0" w:color="auto"/>
            </w:tcBorders>
            <w:shd w:val="clear" w:color="000000" w:fill="ACB9CA"/>
            <w:noWrap/>
            <w:vAlign w:val="center"/>
            <w:hideMark/>
          </w:tcPr>
          <w:p w:rsidR="009846CC" w:rsidRPr="009F7B0F" w:rsidRDefault="009846CC" w:rsidP="00E16426">
            <w:pPr>
              <w:spacing w:line="240" w:lineRule="auto"/>
              <w:jc w:val="center"/>
              <w:rPr>
                <w:b/>
                <w:bCs/>
                <w:color w:val="000000"/>
                <w:sz w:val="22"/>
                <w:szCs w:val="22"/>
                <w:lang w:val="en-IN" w:eastAsia="en-IN"/>
              </w:rPr>
            </w:pPr>
            <w:r w:rsidRPr="009F7B0F">
              <w:rPr>
                <w:b/>
                <w:bCs/>
                <w:color w:val="000000"/>
                <w:sz w:val="22"/>
                <w:szCs w:val="22"/>
                <w:lang w:val="en-IN" w:eastAsia="en-IN"/>
              </w:rPr>
              <w:t>FY 2021-22</w:t>
            </w:r>
          </w:p>
        </w:tc>
      </w:tr>
      <w:tr w:rsidR="001A2652" w:rsidRPr="009F7B0F" w:rsidTr="009A6247">
        <w:trPr>
          <w:trHeight w:val="300"/>
        </w:trPr>
        <w:tc>
          <w:tcPr>
            <w:tcW w:w="1861" w:type="pct"/>
            <w:tcBorders>
              <w:top w:val="nil"/>
              <w:left w:val="single" w:sz="4" w:space="0" w:color="auto"/>
              <w:bottom w:val="single" w:sz="4" w:space="0" w:color="auto"/>
              <w:right w:val="single" w:sz="4" w:space="0" w:color="auto"/>
            </w:tcBorders>
            <w:shd w:val="clear" w:color="auto" w:fill="auto"/>
            <w:noWrap/>
            <w:vAlign w:val="bottom"/>
            <w:hideMark/>
          </w:tcPr>
          <w:p w:rsidR="001A2652" w:rsidRPr="009F7B0F" w:rsidRDefault="001A2652" w:rsidP="001A2652">
            <w:pPr>
              <w:spacing w:line="240" w:lineRule="auto"/>
              <w:jc w:val="left"/>
              <w:rPr>
                <w:color w:val="000000"/>
                <w:sz w:val="22"/>
                <w:szCs w:val="22"/>
                <w:lang w:val="en-IN" w:eastAsia="en-IN"/>
              </w:rPr>
            </w:pPr>
            <w:r w:rsidRPr="009F7B0F">
              <w:rPr>
                <w:color w:val="000000"/>
                <w:sz w:val="22"/>
                <w:szCs w:val="22"/>
                <w:lang w:val="en-IN" w:eastAsia="en-IN"/>
              </w:rPr>
              <w:t>Domestic</w:t>
            </w:r>
          </w:p>
        </w:tc>
        <w:tc>
          <w:tcPr>
            <w:tcW w:w="814" w:type="pct"/>
            <w:tcBorders>
              <w:top w:val="nil"/>
              <w:left w:val="nil"/>
              <w:bottom w:val="single" w:sz="4" w:space="0" w:color="auto"/>
              <w:right w:val="single" w:sz="4" w:space="0" w:color="auto"/>
            </w:tcBorders>
            <w:shd w:val="clear" w:color="auto" w:fill="auto"/>
            <w:noWrap/>
            <w:vAlign w:val="center"/>
            <w:hideMark/>
          </w:tcPr>
          <w:p w:rsidR="001A2652" w:rsidRDefault="001A2652" w:rsidP="00735CAB">
            <w:pPr>
              <w:spacing w:line="240" w:lineRule="auto"/>
              <w:jc w:val="right"/>
              <w:rPr>
                <w:sz w:val="22"/>
                <w:szCs w:val="22"/>
                <w:lang w:val="en-IN"/>
              </w:rPr>
            </w:pPr>
            <w:r>
              <w:rPr>
                <w:sz w:val="22"/>
                <w:szCs w:val="22"/>
              </w:rPr>
              <w:t>757.87</w:t>
            </w:r>
          </w:p>
        </w:tc>
        <w:tc>
          <w:tcPr>
            <w:tcW w:w="813" w:type="pct"/>
            <w:tcBorders>
              <w:top w:val="nil"/>
              <w:left w:val="nil"/>
              <w:bottom w:val="single" w:sz="4" w:space="0" w:color="auto"/>
              <w:right w:val="single" w:sz="4" w:space="0" w:color="auto"/>
            </w:tcBorders>
            <w:shd w:val="clear" w:color="auto" w:fill="auto"/>
            <w:noWrap/>
            <w:vAlign w:val="center"/>
            <w:hideMark/>
          </w:tcPr>
          <w:p w:rsidR="001A2652" w:rsidRDefault="001A2652" w:rsidP="00735CAB">
            <w:pPr>
              <w:jc w:val="right"/>
              <w:rPr>
                <w:color w:val="000000"/>
                <w:sz w:val="22"/>
                <w:szCs w:val="22"/>
              </w:rPr>
            </w:pPr>
            <w:r>
              <w:rPr>
                <w:color w:val="000000"/>
                <w:sz w:val="22"/>
                <w:szCs w:val="22"/>
              </w:rPr>
              <w:t>794.12</w:t>
            </w:r>
          </w:p>
        </w:tc>
        <w:tc>
          <w:tcPr>
            <w:tcW w:w="727" w:type="pct"/>
            <w:tcBorders>
              <w:top w:val="nil"/>
              <w:left w:val="nil"/>
              <w:bottom w:val="single" w:sz="4" w:space="0" w:color="auto"/>
              <w:right w:val="single" w:sz="4" w:space="0" w:color="auto"/>
            </w:tcBorders>
            <w:shd w:val="clear" w:color="auto" w:fill="auto"/>
            <w:noWrap/>
            <w:vAlign w:val="center"/>
            <w:hideMark/>
          </w:tcPr>
          <w:p w:rsidR="001A2652" w:rsidRDefault="001A2652" w:rsidP="00735CAB">
            <w:pPr>
              <w:jc w:val="right"/>
              <w:rPr>
                <w:color w:val="000000"/>
                <w:sz w:val="22"/>
                <w:szCs w:val="22"/>
              </w:rPr>
            </w:pPr>
            <w:r>
              <w:rPr>
                <w:color w:val="000000"/>
                <w:sz w:val="22"/>
                <w:szCs w:val="22"/>
              </w:rPr>
              <w:t>832.09</w:t>
            </w:r>
          </w:p>
        </w:tc>
        <w:tc>
          <w:tcPr>
            <w:tcW w:w="785" w:type="pct"/>
            <w:tcBorders>
              <w:top w:val="nil"/>
              <w:left w:val="nil"/>
              <w:bottom w:val="single" w:sz="4" w:space="0" w:color="auto"/>
              <w:right w:val="single" w:sz="4" w:space="0" w:color="auto"/>
            </w:tcBorders>
            <w:shd w:val="clear" w:color="auto" w:fill="auto"/>
            <w:noWrap/>
            <w:vAlign w:val="center"/>
            <w:hideMark/>
          </w:tcPr>
          <w:p w:rsidR="001A2652" w:rsidRDefault="001A2652" w:rsidP="00735CAB">
            <w:pPr>
              <w:jc w:val="right"/>
              <w:rPr>
                <w:color w:val="000000"/>
                <w:sz w:val="22"/>
                <w:szCs w:val="22"/>
              </w:rPr>
            </w:pPr>
            <w:r>
              <w:rPr>
                <w:color w:val="000000"/>
                <w:sz w:val="22"/>
                <w:szCs w:val="22"/>
              </w:rPr>
              <w:t>871.89</w:t>
            </w:r>
          </w:p>
        </w:tc>
      </w:tr>
      <w:tr w:rsidR="001A2652" w:rsidRPr="009F7B0F" w:rsidTr="009A6247">
        <w:trPr>
          <w:trHeight w:val="300"/>
        </w:trPr>
        <w:tc>
          <w:tcPr>
            <w:tcW w:w="1861" w:type="pct"/>
            <w:tcBorders>
              <w:top w:val="nil"/>
              <w:left w:val="single" w:sz="4" w:space="0" w:color="auto"/>
              <w:bottom w:val="single" w:sz="4" w:space="0" w:color="auto"/>
              <w:right w:val="single" w:sz="4" w:space="0" w:color="auto"/>
            </w:tcBorders>
            <w:shd w:val="clear" w:color="auto" w:fill="auto"/>
            <w:noWrap/>
            <w:vAlign w:val="bottom"/>
            <w:hideMark/>
          </w:tcPr>
          <w:p w:rsidR="001A2652" w:rsidRPr="009F7B0F" w:rsidRDefault="001A2652" w:rsidP="001A2652">
            <w:pPr>
              <w:spacing w:line="240" w:lineRule="auto"/>
              <w:jc w:val="left"/>
              <w:rPr>
                <w:color w:val="000000"/>
                <w:sz w:val="22"/>
                <w:szCs w:val="22"/>
                <w:lang w:val="en-IN" w:eastAsia="en-IN"/>
              </w:rPr>
            </w:pPr>
            <w:r w:rsidRPr="009F7B0F">
              <w:rPr>
                <w:color w:val="000000"/>
                <w:sz w:val="22"/>
                <w:szCs w:val="22"/>
                <w:lang w:val="en-IN" w:eastAsia="en-IN"/>
              </w:rPr>
              <w:t>OHOB</w:t>
            </w:r>
          </w:p>
        </w:tc>
        <w:tc>
          <w:tcPr>
            <w:tcW w:w="814" w:type="pct"/>
            <w:tcBorders>
              <w:top w:val="nil"/>
              <w:left w:val="nil"/>
              <w:bottom w:val="single" w:sz="4" w:space="0" w:color="auto"/>
              <w:right w:val="single" w:sz="4" w:space="0" w:color="auto"/>
            </w:tcBorders>
            <w:shd w:val="clear" w:color="auto" w:fill="auto"/>
            <w:noWrap/>
            <w:vAlign w:val="center"/>
            <w:hideMark/>
          </w:tcPr>
          <w:p w:rsidR="001A2652" w:rsidRDefault="001A2652" w:rsidP="00735CAB">
            <w:pPr>
              <w:jc w:val="right"/>
              <w:rPr>
                <w:sz w:val="22"/>
                <w:szCs w:val="22"/>
              </w:rPr>
            </w:pPr>
            <w:r>
              <w:rPr>
                <w:sz w:val="22"/>
                <w:szCs w:val="22"/>
              </w:rPr>
              <w:t>10.36</w:t>
            </w:r>
          </w:p>
        </w:tc>
        <w:tc>
          <w:tcPr>
            <w:tcW w:w="813" w:type="pct"/>
            <w:tcBorders>
              <w:top w:val="nil"/>
              <w:left w:val="nil"/>
              <w:bottom w:val="single" w:sz="4" w:space="0" w:color="auto"/>
              <w:right w:val="single" w:sz="4" w:space="0" w:color="auto"/>
            </w:tcBorders>
            <w:shd w:val="clear" w:color="auto" w:fill="auto"/>
            <w:noWrap/>
            <w:vAlign w:val="center"/>
            <w:hideMark/>
          </w:tcPr>
          <w:p w:rsidR="001A2652" w:rsidRDefault="001A2652" w:rsidP="00735CAB">
            <w:pPr>
              <w:jc w:val="right"/>
              <w:rPr>
                <w:color w:val="000000"/>
                <w:sz w:val="22"/>
                <w:szCs w:val="22"/>
              </w:rPr>
            </w:pPr>
            <w:r>
              <w:rPr>
                <w:color w:val="000000"/>
                <w:sz w:val="22"/>
                <w:szCs w:val="22"/>
              </w:rPr>
              <w:t>10.49</w:t>
            </w:r>
          </w:p>
        </w:tc>
        <w:tc>
          <w:tcPr>
            <w:tcW w:w="727" w:type="pct"/>
            <w:tcBorders>
              <w:top w:val="nil"/>
              <w:left w:val="nil"/>
              <w:bottom w:val="single" w:sz="4" w:space="0" w:color="auto"/>
              <w:right w:val="single" w:sz="4" w:space="0" w:color="auto"/>
            </w:tcBorders>
            <w:shd w:val="clear" w:color="auto" w:fill="auto"/>
            <w:noWrap/>
            <w:vAlign w:val="center"/>
            <w:hideMark/>
          </w:tcPr>
          <w:p w:rsidR="001A2652" w:rsidRDefault="001A2652" w:rsidP="00735CAB">
            <w:pPr>
              <w:jc w:val="right"/>
              <w:rPr>
                <w:color w:val="000000"/>
                <w:sz w:val="22"/>
                <w:szCs w:val="22"/>
              </w:rPr>
            </w:pPr>
            <w:r>
              <w:rPr>
                <w:color w:val="000000"/>
                <w:sz w:val="22"/>
                <w:szCs w:val="22"/>
              </w:rPr>
              <w:t>10.61</w:t>
            </w:r>
          </w:p>
        </w:tc>
        <w:tc>
          <w:tcPr>
            <w:tcW w:w="785" w:type="pct"/>
            <w:tcBorders>
              <w:top w:val="nil"/>
              <w:left w:val="nil"/>
              <w:bottom w:val="single" w:sz="4" w:space="0" w:color="auto"/>
              <w:right w:val="single" w:sz="4" w:space="0" w:color="auto"/>
            </w:tcBorders>
            <w:shd w:val="clear" w:color="auto" w:fill="auto"/>
            <w:noWrap/>
            <w:vAlign w:val="center"/>
            <w:hideMark/>
          </w:tcPr>
          <w:p w:rsidR="001A2652" w:rsidRDefault="001A2652" w:rsidP="00735CAB">
            <w:pPr>
              <w:jc w:val="right"/>
              <w:rPr>
                <w:color w:val="000000"/>
                <w:sz w:val="22"/>
                <w:szCs w:val="22"/>
              </w:rPr>
            </w:pPr>
            <w:r>
              <w:rPr>
                <w:color w:val="000000"/>
                <w:sz w:val="22"/>
                <w:szCs w:val="22"/>
              </w:rPr>
              <w:t>10.74</w:t>
            </w:r>
          </w:p>
        </w:tc>
      </w:tr>
      <w:tr w:rsidR="001A2652" w:rsidRPr="009F7B0F" w:rsidTr="009A6247">
        <w:trPr>
          <w:trHeight w:val="300"/>
        </w:trPr>
        <w:tc>
          <w:tcPr>
            <w:tcW w:w="1861" w:type="pct"/>
            <w:tcBorders>
              <w:top w:val="nil"/>
              <w:left w:val="single" w:sz="4" w:space="0" w:color="auto"/>
              <w:bottom w:val="single" w:sz="4" w:space="0" w:color="auto"/>
              <w:right w:val="single" w:sz="4" w:space="0" w:color="auto"/>
            </w:tcBorders>
            <w:shd w:val="clear" w:color="auto" w:fill="auto"/>
            <w:noWrap/>
            <w:vAlign w:val="center"/>
            <w:hideMark/>
          </w:tcPr>
          <w:p w:rsidR="001A2652" w:rsidRPr="009F7B0F" w:rsidRDefault="001A2652" w:rsidP="001A2652">
            <w:pPr>
              <w:spacing w:line="240" w:lineRule="auto"/>
              <w:jc w:val="left"/>
              <w:rPr>
                <w:sz w:val="22"/>
                <w:szCs w:val="22"/>
                <w:lang w:val="en-IN" w:eastAsia="en-IN"/>
              </w:rPr>
            </w:pPr>
            <w:r w:rsidRPr="009F7B0F">
              <w:rPr>
                <w:sz w:val="22"/>
                <w:szCs w:val="22"/>
                <w:lang w:val="en-IN" w:eastAsia="en-IN"/>
              </w:rPr>
              <w:t xml:space="preserve"> Commercial </w:t>
            </w:r>
          </w:p>
        </w:tc>
        <w:tc>
          <w:tcPr>
            <w:tcW w:w="814" w:type="pct"/>
            <w:tcBorders>
              <w:top w:val="nil"/>
              <w:left w:val="nil"/>
              <w:bottom w:val="single" w:sz="4" w:space="0" w:color="auto"/>
              <w:right w:val="single" w:sz="4" w:space="0" w:color="auto"/>
            </w:tcBorders>
            <w:shd w:val="clear" w:color="auto" w:fill="auto"/>
            <w:noWrap/>
            <w:vAlign w:val="center"/>
            <w:hideMark/>
          </w:tcPr>
          <w:p w:rsidR="001A2652" w:rsidRDefault="001A2652" w:rsidP="00735CAB">
            <w:pPr>
              <w:jc w:val="right"/>
              <w:rPr>
                <w:sz w:val="22"/>
                <w:szCs w:val="22"/>
              </w:rPr>
            </w:pPr>
            <w:r>
              <w:rPr>
                <w:sz w:val="22"/>
                <w:szCs w:val="22"/>
              </w:rPr>
              <w:t>226.30</w:t>
            </w:r>
          </w:p>
        </w:tc>
        <w:tc>
          <w:tcPr>
            <w:tcW w:w="813" w:type="pct"/>
            <w:tcBorders>
              <w:top w:val="nil"/>
              <w:left w:val="nil"/>
              <w:bottom w:val="single" w:sz="4" w:space="0" w:color="auto"/>
              <w:right w:val="single" w:sz="4" w:space="0" w:color="auto"/>
            </w:tcBorders>
            <w:shd w:val="clear" w:color="auto" w:fill="auto"/>
            <w:noWrap/>
            <w:vAlign w:val="center"/>
            <w:hideMark/>
          </w:tcPr>
          <w:p w:rsidR="001A2652" w:rsidRDefault="001A2652" w:rsidP="00735CAB">
            <w:pPr>
              <w:jc w:val="right"/>
              <w:rPr>
                <w:color w:val="000000"/>
                <w:sz w:val="22"/>
                <w:szCs w:val="22"/>
              </w:rPr>
            </w:pPr>
            <w:r>
              <w:rPr>
                <w:color w:val="000000"/>
                <w:sz w:val="22"/>
                <w:szCs w:val="22"/>
              </w:rPr>
              <w:t>236.63</w:t>
            </w:r>
          </w:p>
        </w:tc>
        <w:tc>
          <w:tcPr>
            <w:tcW w:w="727" w:type="pct"/>
            <w:tcBorders>
              <w:top w:val="nil"/>
              <w:left w:val="nil"/>
              <w:bottom w:val="single" w:sz="4" w:space="0" w:color="auto"/>
              <w:right w:val="single" w:sz="4" w:space="0" w:color="auto"/>
            </w:tcBorders>
            <w:shd w:val="clear" w:color="auto" w:fill="auto"/>
            <w:noWrap/>
            <w:vAlign w:val="center"/>
            <w:hideMark/>
          </w:tcPr>
          <w:p w:rsidR="001A2652" w:rsidRDefault="001A2652" w:rsidP="00735CAB">
            <w:pPr>
              <w:jc w:val="right"/>
              <w:rPr>
                <w:color w:val="000000"/>
                <w:sz w:val="22"/>
                <w:szCs w:val="22"/>
              </w:rPr>
            </w:pPr>
            <w:r>
              <w:rPr>
                <w:color w:val="000000"/>
                <w:sz w:val="22"/>
                <w:szCs w:val="22"/>
              </w:rPr>
              <w:t>247.44</w:t>
            </w:r>
          </w:p>
        </w:tc>
        <w:tc>
          <w:tcPr>
            <w:tcW w:w="785" w:type="pct"/>
            <w:tcBorders>
              <w:top w:val="nil"/>
              <w:left w:val="nil"/>
              <w:bottom w:val="single" w:sz="4" w:space="0" w:color="auto"/>
              <w:right w:val="single" w:sz="4" w:space="0" w:color="auto"/>
            </w:tcBorders>
            <w:shd w:val="clear" w:color="auto" w:fill="auto"/>
            <w:noWrap/>
            <w:vAlign w:val="center"/>
            <w:hideMark/>
          </w:tcPr>
          <w:p w:rsidR="001A2652" w:rsidRDefault="001A2652" w:rsidP="00735CAB">
            <w:pPr>
              <w:jc w:val="right"/>
              <w:rPr>
                <w:color w:val="000000"/>
                <w:sz w:val="22"/>
                <w:szCs w:val="22"/>
              </w:rPr>
            </w:pPr>
            <w:r>
              <w:rPr>
                <w:color w:val="000000"/>
                <w:sz w:val="22"/>
                <w:szCs w:val="22"/>
              </w:rPr>
              <w:t>258.75</w:t>
            </w:r>
          </w:p>
        </w:tc>
      </w:tr>
      <w:tr w:rsidR="001A2652" w:rsidRPr="009F7B0F" w:rsidTr="009A6247">
        <w:trPr>
          <w:trHeight w:val="300"/>
        </w:trPr>
        <w:tc>
          <w:tcPr>
            <w:tcW w:w="1861" w:type="pct"/>
            <w:tcBorders>
              <w:top w:val="nil"/>
              <w:left w:val="single" w:sz="4" w:space="0" w:color="auto"/>
              <w:bottom w:val="single" w:sz="4" w:space="0" w:color="auto"/>
              <w:right w:val="single" w:sz="4" w:space="0" w:color="auto"/>
            </w:tcBorders>
            <w:shd w:val="clear" w:color="auto" w:fill="auto"/>
            <w:noWrap/>
            <w:vAlign w:val="center"/>
            <w:hideMark/>
          </w:tcPr>
          <w:p w:rsidR="001A2652" w:rsidRPr="009F7B0F" w:rsidRDefault="001A2652" w:rsidP="001A2652">
            <w:pPr>
              <w:spacing w:line="240" w:lineRule="auto"/>
              <w:jc w:val="left"/>
              <w:rPr>
                <w:sz w:val="22"/>
                <w:szCs w:val="22"/>
                <w:lang w:val="en-IN" w:eastAsia="en-IN"/>
              </w:rPr>
            </w:pPr>
            <w:r w:rsidRPr="009F7B0F">
              <w:rPr>
                <w:sz w:val="22"/>
                <w:szCs w:val="22"/>
                <w:lang w:val="en-IN" w:eastAsia="en-IN"/>
              </w:rPr>
              <w:t xml:space="preserve"> Agriculture </w:t>
            </w:r>
          </w:p>
        </w:tc>
        <w:tc>
          <w:tcPr>
            <w:tcW w:w="814" w:type="pct"/>
            <w:tcBorders>
              <w:top w:val="nil"/>
              <w:left w:val="nil"/>
              <w:bottom w:val="single" w:sz="4" w:space="0" w:color="auto"/>
              <w:right w:val="single" w:sz="4" w:space="0" w:color="auto"/>
            </w:tcBorders>
            <w:shd w:val="clear" w:color="auto" w:fill="auto"/>
            <w:noWrap/>
            <w:vAlign w:val="center"/>
            <w:hideMark/>
          </w:tcPr>
          <w:p w:rsidR="001A2652" w:rsidRDefault="001A2652" w:rsidP="00735CAB">
            <w:pPr>
              <w:jc w:val="right"/>
              <w:rPr>
                <w:sz w:val="22"/>
                <w:szCs w:val="22"/>
              </w:rPr>
            </w:pPr>
            <w:r>
              <w:rPr>
                <w:sz w:val="22"/>
                <w:szCs w:val="22"/>
              </w:rPr>
              <w:t>57.76</w:t>
            </w:r>
          </w:p>
        </w:tc>
        <w:tc>
          <w:tcPr>
            <w:tcW w:w="813" w:type="pct"/>
            <w:tcBorders>
              <w:top w:val="nil"/>
              <w:left w:val="nil"/>
              <w:bottom w:val="single" w:sz="4" w:space="0" w:color="auto"/>
              <w:right w:val="single" w:sz="4" w:space="0" w:color="auto"/>
            </w:tcBorders>
            <w:shd w:val="clear" w:color="auto" w:fill="auto"/>
            <w:noWrap/>
            <w:vAlign w:val="center"/>
            <w:hideMark/>
          </w:tcPr>
          <w:p w:rsidR="001A2652" w:rsidRDefault="001A2652" w:rsidP="00735CAB">
            <w:pPr>
              <w:jc w:val="right"/>
              <w:rPr>
                <w:color w:val="000000"/>
                <w:sz w:val="22"/>
                <w:szCs w:val="22"/>
              </w:rPr>
            </w:pPr>
            <w:r>
              <w:rPr>
                <w:color w:val="000000"/>
                <w:sz w:val="22"/>
                <w:szCs w:val="22"/>
              </w:rPr>
              <w:t>57.92</w:t>
            </w:r>
          </w:p>
        </w:tc>
        <w:tc>
          <w:tcPr>
            <w:tcW w:w="727" w:type="pct"/>
            <w:tcBorders>
              <w:top w:val="nil"/>
              <w:left w:val="nil"/>
              <w:bottom w:val="single" w:sz="4" w:space="0" w:color="auto"/>
              <w:right w:val="single" w:sz="4" w:space="0" w:color="auto"/>
            </w:tcBorders>
            <w:shd w:val="clear" w:color="auto" w:fill="auto"/>
            <w:noWrap/>
            <w:vAlign w:val="center"/>
            <w:hideMark/>
          </w:tcPr>
          <w:p w:rsidR="001A2652" w:rsidRDefault="001A2652" w:rsidP="00735CAB">
            <w:pPr>
              <w:jc w:val="right"/>
              <w:rPr>
                <w:color w:val="000000"/>
                <w:sz w:val="22"/>
                <w:szCs w:val="22"/>
              </w:rPr>
            </w:pPr>
            <w:r>
              <w:rPr>
                <w:color w:val="000000"/>
                <w:sz w:val="22"/>
                <w:szCs w:val="22"/>
              </w:rPr>
              <w:t>58.07</w:t>
            </w:r>
          </w:p>
        </w:tc>
        <w:tc>
          <w:tcPr>
            <w:tcW w:w="785" w:type="pct"/>
            <w:tcBorders>
              <w:top w:val="nil"/>
              <w:left w:val="nil"/>
              <w:bottom w:val="single" w:sz="4" w:space="0" w:color="auto"/>
              <w:right w:val="single" w:sz="4" w:space="0" w:color="auto"/>
            </w:tcBorders>
            <w:shd w:val="clear" w:color="auto" w:fill="auto"/>
            <w:noWrap/>
            <w:vAlign w:val="center"/>
            <w:hideMark/>
          </w:tcPr>
          <w:p w:rsidR="001A2652" w:rsidRDefault="001A2652" w:rsidP="00735CAB">
            <w:pPr>
              <w:jc w:val="right"/>
              <w:rPr>
                <w:color w:val="000000"/>
                <w:sz w:val="22"/>
                <w:szCs w:val="22"/>
              </w:rPr>
            </w:pPr>
            <w:r>
              <w:rPr>
                <w:color w:val="000000"/>
                <w:sz w:val="22"/>
                <w:szCs w:val="22"/>
              </w:rPr>
              <w:t>58.23</w:t>
            </w:r>
          </w:p>
        </w:tc>
      </w:tr>
      <w:tr w:rsidR="001A2652" w:rsidRPr="009F7B0F" w:rsidTr="009A6247">
        <w:trPr>
          <w:trHeight w:val="300"/>
        </w:trPr>
        <w:tc>
          <w:tcPr>
            <w:tcW w:w="1861" w:type="pct"/>
            <w:tcBorders>
              <w:top w:val="nil"/>
              <w:left w:val="single" w:sz="4" w:space="0" w:color="auto"/>
              <w:bottom w:val="single" w:sz="4" w:space="0" w:color="auto"/>
              <w:right w:val="single" w:sz="4" w:space="0" w:color="auto"/>
            </w:tcBorders>
            <w:shd w:val="clear" w:color="auto" w:fill="auto"/>
            <w:noWrap/>
            <w:vAlign w:val="center"/>
            <w:hideMark/>
          </w:tcPr>
          <w:p w:rsidR="001A2652" w:rsidRPr="009F7B0F" w:rsidRDefault="001A2652" w:rsidP="001A2652">
            <w:pPr>
              <w:spacing w:line="240" w:lineRule="auto"/>
              <w:jc w:val="left"/>
              <w:rPr>
                <w:sz w:val="22"/>
                <w:szCs w:val="22"/>
                <w:lang w:val="en-IN" w:eastAsia="en-IN"/>
              </w:rPr>
            </w:pPr>
            <w:r w:rsidRPr="009F7B0F">
              <w:rPr>
                <w:sz w:val="22"/>
                <w:szCs w:val="22"/>
                <w:lang w:val="en-IN" w:eastAsia="en-IN"/>
              </w:rPr>
              <w:t xml:space="preserve"> Street lighting </w:t>
            </w:r>
          </w:p>
        </w:tc>
        <w:tc>
          <w:tcPr>
            <w:tcW w:w="814" w:type="pct"/>
            <w:tcBorders>
              <w:top w:val="nil"/>
              <w:left w:val="nil"/>
              <w:bottom w:val="single" w:sz="4" w:space="0" w:color="auto"/>
              <w:right w:val="single" w:sz="4" w:space="0" w:color="auto"/>
            </w:tcBorders>
            <w:shd w:val="clear" w:color="auto" w:fill="auto"/>
            <w:noWrap/>
            <w:vAlign w:val="center"/>
            <w:hideMark/>
          </w:tcPr>
          <w:p w:rsidR="001A2652" w:rsidRDefault="001A2652" w:rsidP="00735CAB">
            <w:pPr>
              <w:jc w:val="right"/>
              <w:rPr>
                <w:sz w:val="22"/>
                <w:szCs w:val="22"/>
              </w:rPr>
            </w:pPr>
            <w:r>
              <w:rPr>
                <w:sz w:val="22"/>
                <w:szCs w:val="22"/>
              </w:rPr>
              <w:t>24.48</w:t>
            </w:r>
          </w:p>
        </w:tc>
        <w:tc>
          <w:tcPr>
            <w:tcW w:w="813" w:type="pct"/>
            <w:tcBorders>
              <w:top w:val="nil"/>
              <w:left w:val="nil"/>
              <w:bottom w:val="single" w:sz="4" w:space="0" w:color="auto"/>
              <w:right w:val="single" w:sz="4" w:space="0" w:color="auto"/>
            </w:tcBorders>
            <w:shd w:val="clear" w:color="auto" w:fill="auto"/>
            <w:noWrap/>
            <w:vAlign w:val="center"/>
            <w:hideMark/>
          </w:tcPr>
          <w:p w:rsidR="001A2652" w:rsidRDefault="001A2652" w:rsidP="00735CAB">
            <w:pPr>
              <w:jc w:val="right"/>
              <w:rPr>
                <w:color w:val="000000"/>
                <w:sz w:val="22"/>
                <w:szCs w:val="22"/>
              </w:rPr>
            </w:pPr>
            <w:r>
              <w:rPr>
                <w:color w:val="000000"/>
                <w:sz w:val="22"/>
                <w:szCs w:val="22"/>
              </w:rPr>
              <w:t>12.24</w:t>
            </w:r>
          </w:p>
        </w:tc>
        <w:tc>
          <w:tcPr>
            <w:tcW w:w="727" w:type="pct"/>
            <w:tcBorders>
              <w:top w:val="nil"/>
              <w:left w:val="nil"/>
              <w:bottom w:val="single" w:sz="4" w:space="0" w:color="auto"/>
              <w:right w:val="single" w:sz="4" w:space="0" w:color="auto"/>
            </w:tcBorders>
            <w:shd w:val="clear" w:color="auto" w:fill="auto"/>
            <w:noWrap/>
            <w:vAlign w:val="center"/>
            <w:hideMark/>
          </w:tcPr>
          <w:p w:rsidR="001A2652" w:rsidRDefault="001A2652" w:rsidP="00735CAB">
            <w:pPr>
              <w:jc w:val="right"/>
              <w:rPr>
                <w:color w:val="000000"/>
                <w:sz w:val="22"/>
                <w:szCs w:val="22"/>
              </w:rPr>
            </w:pPr>
            <w:r>
              <w:rPr>
                <w:color w:val="000000"/>
                <w:sz w:val="22"/>
                <w:szCs w:val="22"/>
              </w:rPr>
              <w:t>12.24</w:t>
            </w:r>
          </w:p>
        </w:tc>
        <w:tc>
          <w:tcPr>
            <w:tcW w:w="785" w:type="pct"/>
            <w:tcBorders>
              <w:top w:val="nil"/>
              <w:left w:val="nil"/>
              <w:bottom w:val="single" w:sz="4" w:space="0" w:color="auto"/>
              <w:right w:val="single" w:sz="4" w:space="0" w:color="auto"/>
            </w:tcBorders>
            <w:shd w:val="clear" w:color="auto" w:fill="auto"/>
            <w:noWrap/>
            <w:vAlign w:val="center"/>
            <w:hideMark/>
          </w:tcPr>
          <w:p w:rsidR="001A2652" w:rsidRDefault="001A2652" w:rsidP="00735CAB">
            <w:pPr>
              <w:jc w:val="right"/>
              <w:rPr>
                <w:color w:val="000000"/>
                <w:sz w:val="22"/>
                <w:szCs w:val="22"/>
              </w:rPr>
            </w:pPr>
            <w:r>
              <w:rPr>
                <w:color w:val="000000"/>
                <w:sz w:val="22"/>
                <w:szCs w:val="22"/>
              </w:rPr>
              <w:t>12.24</w:t>
            </w:r>
          </w:p>
        </w:tc>
      </w:tr>
      <w:tr w:rsidR="001A2652" w:rsidRPr="009F7B0F" w:rsidTr="009A6247">
        <w:trPr>
          <w:trHeight w:val="300"/>
        </w:trPr>
        <w:tc>
          <w:tcPr>
            <w:tcW w:w="1861" w:type="pct"/>
            <w:tcBorders>
              <w:top w:val="nil"/>
              <w:left w:val="single" w:sz="4" w:space="0" w:color="auto"/>
              <w:bottom w:val="single" w:sz="4" w:space="0" w:color="auto"/>
              <w:right w:val="single" w:sz="4" w:space="0" w:color="auto"/>
            </w:tcBorders>
            <w:shd w:val="clear" w:color="auto" w:fill="auto"/>
            <w:noWrap/>
            <w:vAlign w:val="center"/>
            <w:hideMark/>
          </w:tcPr>
          <w:p w:rsidR="001A2652" w:rsidRPr="009F7B0F" w:rsidRDefault="001A2652" w:rsidP="001A2652">
            <w:pPr>
              <w:spacing w:line="240" w:lineRule="auto"/>
              <w:jc w:val="left"/>
              <w:rPr>
                <w:sz w:val="22"/>
                <w:szCs w:val="22"/>
                <w:lang w:val="en-IN" w:eastAsia="en-IN"/>
              </w:rPr>
            </w:pPr>
            <w:r w:rsidRPr="009F7B0F">
              <w:rPr>
                <w:sz w:val="22"/>
                <w:szCs w:val="22"/>
                <w:lang w:val="en-IN" w:eastAsia="en-IN"/>
              </w:rPr>
              <w:t xml:space="preserve"> LT Industries + Water tank </w:t>
            </w:r>
          </w:p>
        </w:tc>
        <w:tc>
          <w:tcPr>
            <w:tcW w:w="814" w:type="pct"/>
            <w:tcBorders>
              <w:top w:val="nil"/>
              <w:left w:val="nil"/>
              <w:bottom w:val="single" w:sz="4" w:space="0" w:color="auto"/>
              <w:right w:val="single" w:sz="4" w:space="0" w:color="auto"/>
            </w:tcBorders>
            <w:shd w:val="clear" w:color="auto" w:fill="auto"/>
            <w:noWrap/>
            <w:vAlign w:val="center"/>
            <w:hideMark/>
          </w:tcPr>
          <w:p w:rsidR="001A2652" w:rsidRDefault="001A2652" w:rsidP="00735CAB">
            <w:pPr>
              <w:jc w:val="right"/>
              <w:rPr>
                <w:sz w:val="22"/>
                <w:szCs w:val="22"/>
              </w:rPr>
            </w:pPr>
            <w:r>
              <w:rPr>
                <w:sz w:val="22"/>
                <w:szCs w:val="22"/>
              </w:rPr>
              <w:t>185.61</w:t>
            </w:r>
          </w:p>
        </w:tc>
        <w:tc>
          <w:tcPr>
            <w:tcW w:w="813" w:type="pct"/>
            <w:tcBorders>
              <w:top w:val="nil"/>
              <w:left w:val="nil"/>
              <w:bottom w:val="single" w:sz="4" w:space="0" w:color="auto"/>
              <w:right w:val="single" w:sz="4" w:space="0" w:color="auto"/>
            </w:tcBorders>
            <w:shd w:val="clear" w:color="auto" w:fill="auto"/>
            <w:noWrap/>
            <w:vAlign w:val="center"/>
            <w:hideMark/>
          </w:tcPr>
          <w:p w:rsidR="001A2652" w:rsidRDefault="001A2652" w:rsidP="00735CAB">
            <w:pPr>
              <w:jc w:val="right"/>
              <w:rPr>
                <w:color w:val="000000"/>
                <w:sz w:val="22"/>
                <w:szCs w:val="22"/>
              </w:rPr>
            </w:pPr>
            <w:r>
              <w:rPr>
                <w:color w:val="000000"/>
                <w:sz w:val="22"/>
                <w:szCs w:val="22"/>
              </w:rPr>
              <w:t>185.61</w:t>
            </w:r>
          </w:p>
        </w:tc>
        <w:tc>
          <w:tcPr>
            <w:tcW w:w="727" w:type="pct"/>
            <w:tcBorders>
              <w:top w:val="nil"/>
              <w:left w:val="nil"/>
              <w:bottom w:val="single" w:sz="4" w:space="0" w:color="auto"/>
              <w:right w:val="single" w:sz="4" w:space="0" w:color="auto"/>
            </w:tcBorders>
            <w:shd w:val="clear" w:color="auto" w:fill="auto"/>
            <w:noWrap/>
            <w:vAlign w:val="center"/>
            <w:hideMark/>
          </w:tcPr>
          <w:p w:rsidR="001A2652" w:rsidRDefault="001A2652" w:rsidP="00735CAB">
            <w:pPr>
              <w:jc w:val="right"/>
              <w:rPr>
                <w:color w:val="000000"/>
                <w:sz w:val="22"/>
                <w:szCs w:val="22"/>
              </w:rPr>
            </w:pPr>
            <w:r>
              <w:rPr>
                <w:color w:val="000000"/>
                <w:sz w:val="22"/>
                <w:szCs w:val="22"/>
              </w:rPr>
              <w:t>185.61</w:t>
            </w:r>
          </w:p>
        </w:tc>
        <w:tc>
          <w:tcPr>
            <w:tcW w:w="785" w:type="pct"/>
            <w:tcBorders>
              <w:top w:val="nil"/>
              <w:left w:val="nil"/>
              <w:bottom w:val="single" w:sz="4" w:space="0" w:color="auto"/>
              <w:right w:val="single" w:sz="4" w:space="0" w:color="auto"/>
            </w:tcBorders>
            <w:shd w:val="clear" w:color="auto" w:fill="auto"/>
            <w:noWrap/>
            <w:vAlign w:val="center"/>
            <w:hideMark/>
          </w:tcPr>
          <w:p w:rsidR="001A2652" w:rsidRDefault="001A2652" w:rsidP="00735CAB">
            <w:pPr>
              <w:jc w:val="right"/>
              <w:rPr>
                <w:color w:val="000000"/>
                <w:sz w:val="22"/>
                <w:szCs w:val="22"/>
              </w:rPr>
            </w:pPr>
            <w:r>
              <w:rPr>
                <w:color w:val="000000"/>
                <w:sz w:val="22"/>
                <w:szCs w:val="22"/>
              </w:rPr>
              <w:t>185.61</w:t>
            </w:r>
          </w:p>
        </w:tc>
      </w:tr>
      <w:tr w:rsidR="001A2652" w:rsidRPr="009F7B0F" w:rsidTr="009A6247">
        <w:trPr>
          <w:trHeight w:val="300"/>
        </w:trPr>
        <w:tc>
          <w:tcPr>
            <w:tcW w:w="1861" w:type="pct"/>
            <w:tcBorders>
              <w:top w:val="nil"/>
              <w:left w:val="single" w:sz="4" w:space="0" w:color="auto"/>
              <w:bottom w:val="single" w:sz="4" w:space="0" w:color="auto"/>
              <w:right w:val="single" w:sz="4" w:space="0" w:color="auto"/>
            </w:tcBorders>
            <w:shd w:val="clear" w:color="auto" w:fill="auto"/>
            <w:noWrap/>
            <w:vAlign w:val="center"/>
            <w:hideMark/>
          </w:tcPr>
          <w:p w:rsidR="001A2652" w:rsidRPr="009F7B0F" w:rsidRDefault="001A2652" w:rsidP="001A2652">
            <w:pPr>
              <w:spacing w:line="240" w:lineRule="auto"/>
              <w:jc w:val="left"/>
              <w:rPr>
                <w:sz w:val="22"/>
                <w:szCs w:val="22"/>
                <w:lang w:val="en-IN" w:eastAsia="en-IN"/>
              </w:rPr>
            </w:pPr>
            <w:r w:rsidRPr="009F7B0F">
              <w:rPr>
                <w:sz w:val="22"/>
                <w:szCs w:val="22"/>
                <w:lang w:val="en-IN" w:eastAsia="en-IN"/>
              </w:rPr>
              <w:t xml:space="preserve"> Temp LT </w:t>
            </w:r>
          </w:p>
        </w:tc>
        <w:tc>
          <w:tcPr>
            <w:tcW w:w="814" w:type="pct"/>
            <w:tcBorders>
              <w:top w:val="nil"/>
              <w:left w:val="nil"/>
              <w:bottom w:val="single" w:sz="4" w:space="0" w:color="auto"/>
              <w:right w:val="single" w:sz="4" w:space="0" w:color="auto"/>
            </w:tcBorders>
            <w:shd w:val="clear" w:color="auto" w:fill="auto"/>
            <w:noWrap/>
            <w:vAlign w:val="center"/>
            <w:hideMark/>
          </w:tcPr>
          <w:p w:rsidR="001A2652" w:rsidRDefault="001A2652" w:rsidP="00735CAB">
            <w:pPr>
              <w:jc w:val="right"/>
              <w:rPr>
                <w:sz w:val="22"/>
                <w:szCs w:val="22"/>
              </w:rPr>
            </w:pPr>
            <w:r>
              <w:rPr>
                <w:sz w:val="22"/>
                <w:szCs w:val="22"/>
              </w:rPr>
              <w:t>9.33</w:t>
            </w:r>
          </w:p>
        </w:tc>
        <w:tc>
          <w:tcPr>
            <w:tcW w:w="813" w:type="pct"/>
            <w:tcBorders>
              <w:top w:val="nil"/>
              <w:left w:val="nil"/>
              <w:bottom w:val="single" w:sz="4" w:space="0" w:color="auto"/>
              <w:right w:val="single" w:sz="4" w:space="0" w:color="auto"/>
            </w:tcBorders>
            <w:shd w:val="clear" w:color="auto" w:fill="auto"/>
            <w:noWrap/>
            <w:vAlign w:val="center"/>
            <w:hideMark/>
          </w:tcPr>
          <w:p w:rsidR="001A2652" w:rsidRDefault="001A2652" w:rsidP="00735CAB">
            <w:pPr>
              <w:jc w:val="right"/>
              <w:rPr>
                <w:color w:val="000000"/>
                <w:sz w:val="22"/>
                <w:szCs w:val="22"/>
              </w:rPr>
            </w:pPr>
            <w:r>
              <w:rPr>
                <w:color w:val="000000"/>
                <w:sz w:val="22"/>
                <w:szCs w:val="22"/>
              </w:rPr>
              <w:t>10.27</w:t>
            </w:r>
          </w:p>
        </w:tc>
        <w:tc>
          <w:tcPr>
            <w:tcW w:w="727" w:type="pct"/>
            <w:tcBorders>
              <w:top w:val="nil"/>
              <w:left w:val="nil"/>
              <w:bottom w:val="single" w:sz="4" w:space="0" w:color="auto"/>
              <w:right w:val="single" w:sz="4" w:space="0" w:color="auto"/>
            </w:tcBorders>
            <w:shd w:val="clear" w:color="auto" w:fill="auto"/>
            <w:noWrap/>
            <w:vAlign w:val="center"/>
            <w:hideMark/>
          </w:tcPr>
          <w:p w:rsidR="001A2652" w:rsidRDefault="001A2652" w:rsidP="00735CAB">
            <w:pPr>
              <w:jc w:val="right"/>
              <w:rPr>
                <w:color w:val="000000"/>
                <w:sz w:val="22"/>
                <w:szCs w:val="22"/>
              </w:rPr>
            </w:pPr>
            <w:r>
              <w:rPr>
                <w:color w:val="000000"/>
                <w:sz w:val="22"/>
                <w:szCs w:val="22"/>
              </w:rPr>
              <w:t>11.31</w:t>
            </w:r>
          </w:p>
        </w:tc>
        <w:tc>
          <w:tcPr>
            <w:tcW w:w="785" w:type="pct"/>
            <w:tcBorders>
              <w:top w:val="nil"/>
              <w:left w:val="nil"/>
              <w:bottom w:val="single" w:sz="4" w:space="0" w:color="auto"/>
              <w:right w:val="single" w:sz="4" w:space="0" w:color="auto"/>
            </w:tcBorders>
            <w:shd w:val="clear" w:color="auto" w:fill="auto"/>
            <w:noWrap/>
            <w:vAlign w:val="center"/>
            <w:hideMark/>
          </w:tcPr>
          <w:p w:rsidR="001A2652" w:rsidRDefault="001A2652" w:rsidP="00735CAB">
            <w:pPr>
              <w:jc w:val="right"/>
              <w:rPr>
                <w:color w:val="000000"/>
                <w:sz w:val="22"/>
                <w:szCs w:val="22"/>
              </w:rPr>
            </w:pPr>
            <w:r>
              <w:rPr>
                <w:color w:val="000000"/>
                <w:sz w:val="22"/>
                <w:szCs w:val="22"/>
              </w:rPr>
              <w:t>12.44</w:t>
            </w:r>
          </w:p>
        </w:tc>
      </w:tr>
      <w:tr w:rsidR="001A2652" w:rsidRPr="009F7B0F" w:rsidTr="009A6247">
        <w:trPr>
          <w:trHeight w:val="300"/>
        </w:trPr>
        <w:tc>
          <w:tcPr>
            <w:tcW w:w="1861" w:type="pct"/>
            <w:tcBorders>
              <w:top w:val="nil"/>
              <w:left w:val="single" w:sz="4" w:space="0" w:color="auto"/>
              <w:bottom w:val="single" w:sz="4" w:space="0" w:color="auto"/>
              <w:right w:val="single" w:sz="4" w:space="0" w:color="auto"/>
            </w:tcBorders>
            <w:shd w:val="clear" w:color="auto" w:fill="auto"/>
            <w:noWrap/>
            <w:vAlign w:val="center"/>
            <w:hideMark/>
          </w:tcPr>
          <w:p w:rsidR="001A2652" w:rsidRPr="009F7B0F" w:rsidRDefault="001A2652" w:rsidP="001A2652">
            <w:pPr>
              <w:spacing w:line="240" w:lineRule="auto"/>
              <w:jc w:val="left"/>
              <w:rPr>
                <w:color w:val="000000"/>
                <w:sz w:val="22"/>
                <w:szCs w:val="22"/>
                <w:lang w:val="en-IN" w:eastAsia="en-IN"/>
              </w:rPr>
            </w:pPr>
            <w:r w:rsidRPr="004E3080">
              <w:rPr>
                <w:color w:val="000000"/>
                <w:sz w:val="22"/>
                <w:szCs w:val="22"/>
                <w:lang w:val="en-IN" w:eastAsia="en-IN"/>
              </w:rPr>
              <w:t>HT 1</w:t>
            </w:r>
          </w:p>
        </w:tc>
        <w:tc>
          <w:tcPr>
            <w:tcW w:w="814" w:type="pct"/>
            <w:tcBorders>
              <w:top w:val="nil"/>
              <w:left w:val="nil"/>
              <w:bottom w:val="single" w:sz="4" w:space="0" w:color="auto"/>
              <w:right w:val="single" w:sz="4" w:space="0" w:color="auto"/>
            </w:tcBorders>
            <w:shd w:val="clear" w:color="auto" w:fill="auto"/>
            <w:noWrap/>
            <w:vAlign w:val="center"/>
            <w:hideMark/>
          </w:tcPr>
          <w:p w:rsidR="001A2652" w:rsidRDefault="001A2652" w:rsidP="00735CAB">
            <w:pPr>
              <w:jc w:val="right"/>
              <w:rPr>
                <w:sz w:val="22"/>
                <w:szCs w:val="22"/>
              </w:rPr>
            </w:pPr>
            <w:r>
              <w:rPr>
                <w:sz w:val="22"/>
                <w:szCs w:val="22"/>
              </w:rPr>
              <w:t>919.77</w:t>
            </w:r>
          </w:p>
        </w:tc>
        <w:tc>
          <w:tcPr>
            <w:tcW w:w="813" w:type="pct"/>
            <w:tcBorders>
              <w:top w:val="nil"/>
              <w:left w:val="nil"/>
              <w:bottom w:val="single" w:sz="4" w:space="0" w:color="auto"/>
              <w:right w:val="single" w:sz="4" w:space="0" w:color="auto"/>
            </w:tcBorders>
            <w:shd w:val="clear" w:color="auto" w:fill="auto"/>
            <w:noWrap/>
            <w:vAlign w:val="center"/>
            <w:hideMark/>
          </w:tcPr>
          <w:p w:rsidR="001A2652" w:rsidRDefault="001A2652" w:rsidP="00735CAB">
            <w:pPr>
              <w:jc w:val="right"/>
              <w:rPr>
                <w:color w:val="000000"/>
                <w:sz w:val="22"/>
                <w:szCs w:val="22"/>
              </w:rPr>
            </w:pPr>
            <w:r>
              <w:rPr>
                <w:color w:val="000000"/>
                <w:sz w:val="22"/>
                <w:szCs w:val="22"/>
              </w:rPr>
              <w:t>942.77</w:t>
            </w:r>
          </w:p>
        </w:tc>
        <w:tc>
          <w:tcPr>
            <w:tcW w:w="727" w:type="pct"/>
            <w:tcBorders>
              <w:top w:val="nil"/>
              <w:left w:val="nil"/>
              <w:bottom w:val="single" w:sz="4" w:space="0" w:color="auto"/>
              <w:right w:val="single" w:sz="4" w:space="0" w:color="auto"/>
            </w:tcBorders>
            <w:shd w:val="clear" w:color="auto" w:fill="auto"/>
            <w:noWrap/>
            <w:vAlign w:val="center"/>
            <w:hideMark/>
          </w:tcPr>
          <w:p w:rsidR="001A2652" w:rsidRDefault="001A2652" w:rsidP="00735CAB">
            <w:pPr>
              <w:jc w:val="right"/>
              <w:rPr>
                <w:color w:val="000000"/>
                <w:sz w:val="22"/>
                <w:szCs w:val="22"/>
              </w:rPr>
            </w:pPr>
            <w:r>
              <w:rPr>
                <w:color w:val="000000"/>
                <w:sz w:val="22"/>
                <w:szCs w:val="22"/>
              </w:rPr>
              <w:t>966.34</w:t>
            </w:r>
          </w:p>
        </w:tc>
        <w:tc>
          <w:tcPr>
            <w:tcW w:w="785" w:type="pct"/>
            <w:tcBorders>
              <w:top w:val="nil"/>
              <w:left w:val="nil"/>
              <w:bottom w:val="single" w:sz="4" w:space="0" w:color="auto"/>
              <w:right w:val="single" w:sz="4" w:space="0" w:color="auto"/>
            </w:tcBorders>
            <w:shd w:val="clear" w:color="auto" w:fill="auto"/>
            <w:noWrap/>
            <w:vAlign w:val="center"/>
            <w:hideMark/>
          </w:tcPr>
          <w:p w:rsidR="001A2652" w:rsidRDefault="001A2652" w:rsidP="00735CAB">
            <w:pPr>
              <w:jc w:val="right"/>
              <w:rPr>
                <w:color w:val="000000"/>
                <w:sz w:val="22"/>
                <w:szCs w:val="22"/>
              </w:rPr>
            </w:pPr>
            <w:r>
              <w:rPr>
                <w:color w:val="000000"/>
                <w:sz w:val="22"/>
                <w:szCs w:val="22"/>
              </w:rPr>
              <w:t>990.50</w:t>
            </w:r>
          </w:p>
        </w:tc>
      </w:tr>
      <w:tr w:rsidR="001A2652" w:rsidRPr="009F7B0F" w:rsidTr="009A6247">
        <w:trPr>
          <w:trHeight w:val="300"/>
        </w:trPr>
        <w:tc>
          <w:tcPr>
            <w:tcW w:w="1861" w:type="pct"/>
            <w:tcBorders>
              <w:top w:val="nil"/>
              <w:left w:val="single" w:sz="4" w:space="0" w:color="auto"/>
              <w:bottom w:val="single" w:sz="4" w:space="0" w:color="auto"/>
              <w:right w:val="single" w:sz="4" w:space="0" w:color="auto"/>
            </w:tcBorders>
            <w:shd w:val="clear" w:color="auto" w:fill="auto"/>
            <w:noWrap/>
            <w:vAlign w:val="center"/>
            <w:hideMark/>
          </w:tcPr>
          <w:p w:rsidR="001A2652" w:rsidRPr="009F7B0F" w:rsidRDefault="001A2652" w:rsidP="001A2652">
            <w:pPr>
              <w:spacing w:line="240" w:lineRule="auto"/>
              <w:jc w:val="left"/>
              <w:rPr>
                <w:color w:val="000000"/>
                <w:sz w:val="22"/>
                <w:szCs w:val="22"/>
                <w:lang w:val="en-IN" w:eastAsia="en-IN"/>
              </w:rPr>
            </w:pPr>
            <w:r w:rsidRPr="004E3080">
              <w:rPr>
                <w:color w:val="000000"/>
                <w:sz w:val="22"/>
                <w:szCs w:val="22"/>
                <w:lang w:val="en-IN" w:eastAsia="en-IN"/>
              </w:rPr>
              <w:t>HT 2 - Government &amp; water tank</w:t>
            </w:r>
          </w:p>
        </w:tc>
        <w:tc>
          <w:tcPr>
            <w:tcW w:w="814" w:type="pct"/>
            <w:tcBorders>
              <w:top w:val="nil"/>
              <w:left w:val="nil"/>
              <w:bottom w:val="single" w:sz="4" w:space="0" w:color="auto"/>
              <w:right w:val="single" w:sz="4" w:space="0" w:color="auto"/>
            </w:tcBorders>
            <w:shd w:val="clear" w:color="auto" w:fill="auto"/>
            <w:noWrap/>
            <w:vAlign w:val="center"/>
            <w:hideMark/>
          </w:tcPr>
          <w:p w:rsidR="001A2652" w:rsidRDefault="001A2652" w:rsidP="00735CAB">
            <w:pPr>
              <w:jc w:val="right"/>
              <w:rPr>
                <w:sz w:val="22"/>
                <w:szCs w:val="22"/>
              </w:rPr>
            </w:pPr>
            <w:r>
              <w:rPr>
                <w:sz w:val="22"/>
                <w:szCs w:val="22"/>
              </w:rPr>
              <w:t>117.29</w:t>
            </w:r>
          </w:p>
        </w:tc>
        <w:tc>
          <w:tcPr>
            <w:tcW w:w="813" w:type="pct"/>
            <w:tcBorders>
              <w:top w:val="nil"/>
              <w:left w:val="nil"/>
              <w:bottom w:val="single" w:sz="4" w:space="0" w:color="auto"/>
              <w:right w:val="single" w:sz="4" w:space="0" w:color="auto"/>
            </w:tcBorders>
            <w:shd w:val="clear" w:color="auto" w:fill="auto"/>
            <w:noWrap/>
            <w:vAlign w:val="center"/>
            <w:hideMark/>
          </w:tcPr>
          <w:p w:rsidR="001A2652" w:rsidRDefault="001A2652" w:rsidP="00735CAB">
            <w:pPr>
              <w:jc w:val="right"/>
              <w:rPr>
                <w:color w:val="000000"/>
                <w:sz w:val="22"/>
                <w:szCs w:val="22"/>
              </w:rPr>
            </w:pPr>
            <w:r>
              <w:rPr>
                <w:color w:val="000000"/>
                <w:sz w:val="22"/>
                <w:szCs w:val="22"/>
              </w:rPr>
              <w:t>139.79</w:t>
            </w:r>
          </w:p>
        </w:tc>
        <w:tc>
          <w:tcPr>
            <w:tcW w:w="727" w:type="pct"/>
            <w:tcBorders>
              <w:top w:val="nil"/>
              <w:left w:val="nil"/>
              <w:bottom w:val="single" w:sz="4" w:space="0" w:color="auto"/>
              <w:right w:val="single" w:sz="4" w:space="0" w:color="auto"/>
            </w:tcBorders>
            <w:shd w:val="clear" w:color="auto" w:fill="auto"/>
            <w:noWrap/>
            <w:vAlign w:val="center"/>
            <w:hideMark/>
          </w:tcPr>
          <w:p w:rsidR="001A2652" w:rsidRDefault="001A2652" w:rsidP="00735CAB">
            <w:pPr>
              <w:jc w:val="right"/>
              <w:rPr>
                <w:color w:val="000000"/>
                <w:sz w:val="22"/>
                <w:szCs w:val="22"/>
              </w:rPr>
            </w:pPr>
            <w:r>
              <w:rPr>
                <w:color w:val="000000"/>
                <w:sz w:val="22"/>
                <w:szCs w:val="22"/>
              </w:rPr>
              <w:t>166.61</w:t>
            </w:r>
          </w:p>
        </w:tc>
        <w:tc>
          <w:tcPr>
            <w:tcW w:w="785" w:type="pct"/>
            <w:tcBorders>
              <w:top w:val="nil"/>
              <w:left w:val="nil"/>
              <w:bottom w:val="single" w:sz="4" w:space="0" w:color="auto"/>
              <w:right w:val="single" w:sz="4" w:space="0" w:color="auto"/>
            </w:tcBorders>
            <w:shd w:val="clear" w:color="auto" w:fill="auto"/>
            <w:noWrap/>
            <w:vAlign w:val="center"/>
            <w:hideMark/>
          </w:tcPr>
          <w:p w:rsidR="001A2652" w:rsidRDefault="001A2652" w:rsidP="00735CAB">
            <w:pPr>
              <w:jc w:val="right"/>
              <w:rPr>
                <w:color w:val="000000"/>
                <w:sz w:val="22"/>
                <w:szCs w:val="22"/>
              </w:rPr>
            </w:pPr>
            <w:r>
              <w:rPr>
                <w:color w:val="000000"/>
                <w:sz w:val="22"/>
                <w:szCs w:val="22"/>
              </w:rPr>
              <w:t>198.58</w:t>
            </w:r>
          </w:p>
        </w:tc>
      </w:tr>
      <w:tr w:rsidR="001A2652" w:rsidRPr="009F7B0F" w:rsidTr="009A6247">
        <w:trPr>
          <w:trHeight w:val="300"/>
        </w:trPr>
        <w:tc>
          <w:tcPr>
            <w:tcW w:w="1861" w:type="pct"/>
            <w:tcBorders>
              <w:top w:val="nil"/>
              <w:left w:val="single" w:sz="4" w:space="0" w:color="auto"/>
              <w:bottom w:val="single" w:sz="4" w:space="0" w:color="auto"/>
              <w:right w:val="single" w:sz="4" w:space="0" w:color="auto"/>
            </w:tcBorders>
            <w:shd w:val="clear" w:color="auto" w:fill="auto"/>
            <w:noWrap/>
            <w:vAlign w:val="center"/>
            <w:hideMark/>
          </w:tcPr>
          <w:p w:rsidR="001A2652" w:rsidRPr="009F7B0F" w:rsidRDefault="001A2652" w:rsidP="001A2652">
            <w:pPr>
              <w:spacing w:line="240" w:lineRule="auto"/>
              <w:jc w:val="left"/>
              <w:rPr>
                <w:color w:val="000000"/>
                <w:sz w:val="22"/>
                <w:szCs w:val="22"/>
                <w:lang w:val="en-IN" w:eastAsia="en-IN"/>
              </w:rPr>
            </w:pPr>
            <w:r w:rsidRPr="004E3080">
              <w:rPr>
                <w:color w:val="000000"/>
                <w:sz w:val="22"/>
                <w:szCs w:val="22"/>
                <w:lang w:val="en-IN" w:eastAsia="en-IN"/>
              </w:rPr>
              <w:t>HT 3 – EHT</w:t>
            </w:r>
          </w:p>
        </w:tc>
        <w:tc>
          <w:tcPr>
            <w:tcW w:w="814" w:type="pct"/>
            <w:tcBorders>
              <w:top w:val="nil"/>
              <w:left w:val="nil"/>
              <w:bottom w:val="single" w:sz="4" w:space="0" w:color="auto"/>
              <w:right w:val="single" w:sz="4" w:space="0" w:color="auto"/>
            </w:tcBorders>
            <w:shd w:val="clear" w:color="auto" w:fill="auto"/>
            <w:noWrap/>
            <w:vAlign w:val="center"/>
            <w:hideMark/>
          </w:tcPr>
          <w:p w:rsidR="001A2652" w:rsidRDefault="001A2652" w:rsidP="00735CAB">
            <w:pPr>
              <w:jc w:val="right"/>
              <w:rPr>
                <w:sz w:val="22"/>
                <w:szCs w:val="22"/>
              </w:rPr>
            </w:pPr>
            <w:r>
              <w:rPr>
                <w:sz w:val="22"/>
                <w:szCs w:val="22"/>
              </w:rPr>
              <w:t>335.07</w:t>
            </w:r>
          </w:p>
        </w:tc>
        <w:tc>
          <w:tcPr>
            <w:tcW w:w="813" w:type="pct"/>
            <w:tcBorders>
              <w:top w:val="nil"/>
              <w:left w:val="nil"/>
              <w:bottom w:val="single" w:sz="4" w:space="0" w:color="auto"/>
              <w:right w:val="single" w:sz="4" w:space="0" w:color="auto"/>
            </w:tcBorders>
            <w:shd w:val="clear" w:color="auto" w:fill="auto"/>
            <w:noWrap/>
            <w:vAlign w:val="center"/>
            <w:hideMark/>
          </w:tcPr>
          <w:p w:rsidR="001A2652" w:rsidRDefault="001A2652" w:rsidP="00735CAB">
            <w:pPr>
              <w:jc w:val="right"/>
              <w:rPr>
                <w:color w:val="000000"/>
                <w:sz w:val="22"/>
                <w:szCs w:val="22"/>
              </w:rPr>
            </w:pPr>
            <w:r>
              <w:rPr>
                <w:color w:val="000000"/>
                <w:sz w:val="22"/>
                <w:szCs w:val="22"/>
              </w:rPr>
              <w:t>343.45</w:t>
            </w:r>
          </w:p>
        </w:tc>
        <w:tc>
          <w:tcPr>
            <w:tcW w:w="727" w:type="pct"/>
            <w:tcBorders>
              <w:top w:val="nil"/>
              <w:left w:val="nil"/>
              <w:bottom w:val="single" w:sz="4" w:space="0" w:color="auto"/>
              <w:right w:val="single" w:sz="4" w:space="0" w:color="auto"/>
            </w:tcBorders>
            <w:shd w:val="clear" w:color="auto" w:fill="auto"/>
            <w:noWrap/>
            <w:vAlign w:val="center"/>
            <w:hideMark/>
          </w:tcPr>
          <w:p w:rsidR="001A2652" w:rsidRDefault="001A2652" w:rsidP="00735CAB">
            <w:pPr>
              <w:jc w:val="right"/>
              <w:rPr>
                <w:color w:val="000000"/>
                <w:sz w:val="22"/>
                <w:szCs w:val="22"/>
              </w:rPr>
            </w:pPr>
            <w:r>
              <w:rPr>
                <w:color w:val="000000"/>
                <w:sz w:val="22"/>
                <w:szCs w:val="22"/>
              </w:rPr>
              <w:t>352.04</w:t>
            </w:r>
          </w:p>
        </w:tc>
        <w:tc>
          <w:tcPr>
            <w:tcW w:w="785" w:type="pct"/>
            <w:tcBorders>
              <w:top w:val="nil"/>
              <w:left w:val="nil"/>
              <w:bottom w:val="single" w:sz="4" w:space="0" w:color="auto"/>
              <w:right w:val="single" w:sz="4" w:space="0" w:color="auto"/>
            </w:tcBorders>
            <w:shd w:val="clear" w:color="auto" w:fill="auto"/>
            <w:noWrap/>
            <w:vAlign w:val="center"/>
            <w:hideMark/>
          </w:tcPr>
          <w:p w:rsidR="001A2652" w:rsidRDefault="001A2652" w:rsidP="00735CAB">
            <w:pPr>
              <w:jc w:val="right"/>
              <w:rPr>
                <w:color w:val="000000"/>
                <w:sz w:val="22"/>
                <w:szCs w:val="22"/>
              </w:rPr>
            </w:pPr>
            <w:r>
              <w:rPr>
                <w:color w:val="000000"/>
                <w:sz w:val="22"/>
                <w:szCs w:val="22"/>
              </w:rPr>
              <w:t>360.84</w:t>
            </w:r>
          </w:p>
        </w:tc>
      </w:tr>
      <w:tr w:rsidR="001A2652" w:rsidRPr="009F7B0F" w:rsidTr="009A6247">
        <w:trPr>
          <w:trHeight w:val="315"/>
        </w:trPr>
        <w:tc>
          <w:tcPr>
            <w:tcW w:w="1861" w:type="pct"/>
            <w:tcBorders>
              <w:top w:val="nil"/>
              <w:left w:val="single" w:sz="4" w:space="0" w:color="auto"/>
              <w:bottom w:val="single" w:sz="4" w:space="0" w:color="auto"/>
              <w:right w:val="single" w:sz="4" w:space="0" w:color="auto"/>
            </w:tcBorders>
            <w:shd w:val="clear" w:color="000000" w:fill="44546A"/>
            <w:noWrap/>
            <w:vAlign w:val="center"/>
            <w:hideMark/>
          </w:tcPr>
          <w:p w:rsidR="001A2652" w:rsidRPr="009F7B0F" w:rsidRDefault="001A2652" w:rsidP="001A2652">
            <w:pPr>
              <w:spacing w:line="240" w:lineRule="auto"/>
              <w:jc w:val="center"/>
              <w:rPr>
                <w:b/>
                <w:bCs/>
                <w:color w:val="FFFFFF"/>
                <w:sz w:val="22"/>
                <w:szCs w:val="22"/>
                <w:lang w:val="en-IN" w:eastAsia="en-IN"/>
              </w:rPr>
            </w:pPr>
            <w:r w:rsidRPr="009F7B0F">
              <w:rPr>
                <w:b/>
                <w:bCs/>
                <w:color w:val="FFFFFF"/>
                <w:sz w:val="22"/>
                <w:szCs w:val="22"/>
                <w:lang w:val="en-IN" w:eastAsia="en-IN"/>
              </w:rPr>
              <w:t>Total</w:t>
            </w:r>
          </w:p>
        </w:tc>
        <w:tc>
          <w:tcPr>
            <w:tcW w:w="814" w:type="pct"/>
            <w:tcBorders>
              <w:top w:val="nil"/>
              <w:left w:val="nil"/>
              <w:bottom w:val="single" w:sz="4" w:space="0" w:color="auto"/>
              <w:right w:val="single" w:sz="4" w:space="0" w:color="auto"/>
            </w:tcBorders>
            <w:shd w:val="clear" w:color="000000" w:fill="44546A"/>
            <w:noWrap/>
            <w:vAlign w:val="center"/>
            <w:hideMark/>
          </w:tcPr>
          <w:p w:rsidR="001A2652" w:rsidRDefault="001A2652" w:rsidP="00735CAB">
            <w:pPr>
              <w:jc w:val="right"/>
              <w:rPr>
                <w:b/>
                <w:bCs/>
                <w:color w:val="FFFFFF"/>
                <w:sz w:val="22"/>
                <w:szCs w:val="22"/>
              </w:rPr>
            </w:pPr>
            <w:r>
              <w:rPr>
                <w:b/>
                <w:bCs/>
                <w:color w:val="FFFFFF"/>
                <w:sz w:val="22"/>
                <w:szCs w:val="22"/>
              </w:rPr>
              <w:t>2643.85</w:t>
            </w:r>
          </w:p>
        </w:tc>
        <w:tc>
          <w:tcPr>
            <w:tcW w:w="813" w:type="pct"/>
            <w:tcBorders>
              <w:top w:val="nil"/>
              <w:left w:val="nil"/>
              <w:bottom w:val="single" w:sz="4" w:space="0" w:color="auto"/>
              <w:right w:val="single" w:sz="4" w:space="0" w:color="auto"/>
            </w:tcBorders>
            <w:shd w:val="clear" w:color="000000" w:fill="44546A"/>
            <w:noWrap/>
            <w:vAlign w:val="center"/>
            <w:hideMark/>
          </w:tcPr>
          <w:p w:rsidR="001A2652" w:rsidRDefault="001A2652" w:rsidP="00735CAB">
            <w:pPr>
              <w:jc w:val="right"/>
              <w:rPr>
                <w:b/>
                <w:bCs/>
                <w:color w:val="FFFFFF"/>
                <w:sz w:val="22"/>
                <w:szCs w:val="22"/>
              </w:rPr>
            </w:pPr>
            <w:r>
              <w:rPr>
                <w:b/>
                <w:bCs/>
                <w:color w:val="FFFFFF"/>
                <w:sz w:val="22"/>
                <w:szCs w:val="22"/>
              </w:rPr>
              <w:t>2733.29</w:t>
            </w:r>
          </w:p>
        </w:tc>
        <w:tc>
          <w:tcPr>
            <w:tcW w:w="727" w:type="pct"/>
            <w:tcBorders>
              <w:top w:val="nil"/>
              <w:left w:val="nil"/>
              <w:bottom w:val="single" w:sz="4" w:space="0" w:color="auto"/>
              <w:right w:val="single" w:sz="4" w:space="0" w:color="auto"/>
            </w:tcBorders>
            <w:shd w:val="clear" w:color="000000" w:fill="44546A"/>
            <w:noWrap/>
            <w:vAlign w:val="center"/>
            <w:hideMark/>
          </w:tcPr>
          <w:p w:rsidR="001A2652" w:rsidRDefault="001A2652" w:rsidP="00735CAB">
            <w:pPr>
              <w:jc w:val="right"/>
              <w:rPr>
                <w:b/>
                <w:bCs/>
                <w:color w:val="FFFFFF"/>
                <w:sz w:val="22"/>
                <w:szCs w:val="22"/>
              </w:rPr>
            </w:pPr>
            <w:r>
              <w:rPr>
                <w:b/>
                <w:bCs/>
                <w:color w:val="FFFFFF"/>
                <w:sz w:val="22"/>
                <w:szCs w:val="22"/>
              </w:rPr>
              <w:t>2842.36</w:t>
            </w:r>
          </w:p>
        </w:tc>
        <w:tc>
          <w:tcPr>
            <w:tcW w:w="785" w:type="pct"/>
            <w:tcBorders>
              <w:top w:val="nil"/>
              <w:left w:val="nil"/>
              <w:bottom w:val="single" w:sz="4" w:space="0" w:color="auto"/>
              <w:right w:val="single" w:sz="4" w:space="0" w:color="auto"/>
            </w:tcBorders>
            <w:shd w:val="clear" w:color="000000" w:fill="44546A"/>
            <w:noWrap/>
            <w:vAlign w:val="center"/>
            <w:hideMark/>
          </w:tcPr>
          <w:p w:rsidR="001A2652" w:rsidRDefault="001A2652" w:rsidP="00735CAB">
            <w:pPr>
              <w:jc w:val="right"/>
              <w:rPr>
                <w:b/>
                <w:bCs/>
                <w:color w:val="FFFFFF"/>
                <w:sz w:val="22"/>
                <w:szCs w:val="22"/>
              </w:rPr>
            </w:pPr>
            <w:r>
              <w:rPr>
                <w:b/>
                <w:bCs/>
                <w:color w:val="FFFFFF"/>
                <w:sz w:val="22"/>
                <w:szCs w:val="22"/>
              </w:rPr>
              <w:t>2959.80</w:t>
            </w:r>
          </w:p>
        </w:tc>
      </w:tr>
    </w:tbl>
    <w:p w:rsidR="009846CC" w:rsidRDefault="009846CC" w:rsidP="009846CC">
      <w:pPr>
        <w:pStyle w:val="Heading3"/>
        <w:numPr>
          <w:ilvl w:val="0"/>
          <w:numId w:val="0"/>
        </w:numPr>
        <w:jc w:val="center"/>
      </w:pPr>
    </w:p>
    <w:p w:rsidR="009846CC" w:rsidRDefault="009846CC" w:rsidP="009846CC">
      <w:pPr>
        <w:pStyle w:val="Heading3"/>
        <w:numPr>
          <w:ilvl w:val="0"/>
          <w:numId w:val="0"/>
        </w:numPr>
        <w:ind w:left="720"/>
      </w:pPr>
    </w:p>
    <w:p w:rsidR="009846CC" w:rsidRDefault="009846CC" w:rsidP="009846CC">
      <w:pPr>
        <w:pStyle w:val="ED-H3"/>
      </w:pPr>
      <w:r w:rsidRPr="006C320F">
        <w:t>Based on the above projections</w:t>
      </w:r>
      <w:r>
        <w:t xml:space="preserve"> of the growth rate for the respective categories, the </w:t>
      </w:r>
      <w:r>
        <w:lastRenderedPageBreak/>
        <w:t>overall sales during the control period are ex</w:t>
      </w:r>
      <w:r w:rsidR="00106C4F">
        <w:t>pected to grow at a CAGR of 3.73</w:t>
      </w:r>
      <w:r>
        <w:t>%.</w:t>
      </w:r>
    </w:p>
    <w:p w:rsidR="00BB7F1F" w:rsidRPr="00BB7F1F" w:rsidRDefault="00BB7F1F" w:rsidP="00BB7F1F">
      <w:pPr>
        <w:pStyle w:val="EDNormal"/>
        <w:rPr>
          <w:lang w:val="en-IN" w:bidi="hi-IN"/>
        </w:rPr>
      </w:pPr>
    </w:p>
    <w:p w:rsidR="009846CC" w:rsidRPr="00AB4DE0" w:rsidRDefault="009846CC" w:rsidP="009846CC">
      <w:pPr>
        <w:pStyle w:val="ED-H2"/>
        <w:rPr>
          <w:lang w:val="en-GB"/>
        </w:rPr>
      </w:pPr>
      <w:bookmarkStart w:id="104" w:name="_Toc523560517"/>
      <w:bookmarkStart w:id="105" w:name="_Toc523724485"/>
      <w:r>
        <w:rPr>
          <w:lang w:val="en-GB"/>
        </w:rPr>
        <w:t>Sale of Electricity</w:t>
      </w:r>
      <w:bookmarkEnd w:id="104"/>
      <w:bookmarkEnd w:id="105"/>
    </w:p>
    <w:p w:rsidR="009846CC" w:rsidRPr="001C4AD5" w:rsidRDefault="009846CC" w:rsidP="009846CC">
      <w:pPr>
        <w:pStyle w:val="ED-H3"/>
      </w:pPr>
      <w:r w:rsidRPr="001C4AD5">
        <w:t>The petitioner due to recent developments and introduction of additional surcharge has observed that industries are curbing their open access consumption and increasing their consumption from PED. A</w:t>
      </w:r>
      <w:r w:rsidR="006453D8">
        <w:t xml:space="preserve">ccordingly, PED anticipates no </w:t>
      </w:r>
      <w:r w:rsidRPr="001C4AD5">
        <w:t>sales to Open Access Consumers</w:t>
      </w:r>
      <w:r>
        <w:t>.</w:t>
      </w:r>
    </w:p>
    <w:p w:rsidR="009846CC" w:rsidRPr="00AB4DE0" w:rsidRDefault="009846CC" w:rsidP="009846CC">
      <w:pPr>
        <w:pStyle w:val="EDNormal"/>
      </w:pPr>
    </w:p>
    <w:p w:rsidR="009846CC" w:rsidRDefault="009846CC" w:rsidP="009846CC">
      <w:pPr>
        <w:pStyle w:val="ED-H2"/>
        <w:rPr>
          <w:b w:val="0"/>
          <w:lang w:val="en-GB"/>
        </w:rPr>
      </w:pPr>
      <w:bookmarkStart w:id="106" w:name="_Toc523560518"/>
      <w:bookmarkStart w:id="107" w:name="_Toc523724486"/>
      <w:r>
        <w:rPr>
          <w:lang w:val="en-GB"/>
        </w:rPr>
        <w:t>Distribution Loss Target</w:t>
      </w:r>
      <w:bookmarkEnd w:id="106"/>
      <w:bookmarkEnd w:id="107"/>
    </w:p>
    <w:p w:rsidR="009846CC" w:rsidRDefault="009846CC" w:rsidP="009846CC">
      <w:pPr>
        <w:pStyle w:val="ED-H3"/>
      </w:pPr>
      <w:r w:rsidRPr="00A1342C">
        <w:t xml:space="preserve">The distribution loss trajectory </w:t>
      </w:r>
      <w:r>
        <w:t xml:space="preserve">has </w:t>
      </w:r>
      <w:r w:rsidRPr="00A1342C">
        <w:t xml:space="preserve">proposed by </w:t>
      </w:r>
      <w:r>
        <w:t xml:space="preserve">PED considering that the optimal distribution loss levels of PED, it finds it technically difficult to further reduce the transmission and distribution loss. </w:t>
      </w:r>
    </w:p>
    <w:p w:rsidR="00873583" w:rsidRPr="00873583" w:rsidRDefault="00873583" w:rsidP="00873583">
      <w:pPr>
        <w:pStyle w:val="EDNormal"/>
        <w:rPr>
          <w:lang w:val="en-IN" w:bidi="hi-IN"/>
        </w:rPr>
      </w:pPr>
    </w:p>
    <w:p w:rsidR="009846CC" w:rsidRPr="00AB4DE0" w:rsidRDefault="009846CC" w:rsidP="00061AA6">
      <w:pPr>
        <w:pStyle w:val="Caption"/>
      </w:pPr>
      <w:bookmarkStart w:id="108" w:name="_Toc523719575"/>
      <w:r>
        <w:t xml:space="preserve">Table </w:t>
      </w:r>
      <w:r w:rsidR="00140E1B">
        <w:fldChar w:fldCharType="begin"/>
      </w:r>
      <w:r>
        <w:instrText xml:space="preserve"> SEQ Table \* ARABIC </w:instrText>
      </w:r>
      <w:r w:rsidR="00140E1B">
        <w:fldChar w:fldCharType="separate"/>
      </w:r>
      <w:r w:rsidR="004B7EE5">
        <w:rPr>
          <w:noProof/>
        </w:rPr>
        <w:t>16</w:t>
      </w:r>
      <w:r w:rsidR="00140E1B">
        <w:rPr>
          <w:noProof/>
        </w:rPr>
        <w:fldChar w:fldCharType="end"/>
      </w:r>
      <w:r>
        <w:t>: Actual Distribution Losses</w:t>
      </w:r>
      <w:bookmarkEnd w:id="108"/>
    </w:p>
    <w:tbl>
      <w:tblPr>
        <w:tblW w:w="3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0"/>
        <w:gridCol w:w="1849"/>
        <w:gridCol w:w="1848"/>
      </w:tblGrid>
      <w:tr w:rsidR="009846CC" w:rsidRPr="009A6247" w:rsidTr="00E16426">
        <w:trPr>
          <w:trHeight w:val="300"/>
          <w:jc w:val="center"/>
        </w:trPr>
        <w:tc>
          <w:tcPr>
            <w:tcW w:w="1667" w:type="pct"/>
            <w:shd w:val="clear" w:color="000000" w:fill="ACB9CA"/>
            <w:vAlign w:val="center"/>
            <w:hideMark/>
          </w:tcPr>
          <w:p w:rsidR="009846CC" w:rsidRPr="009A6247" w:rsidRDefault="009846CC" w:rsidP="00E16426">
            <w:pPr>
              <w:spacing w:line="240" w:lineRule="auto"/>
              <w:jc w:val="center"/>
              <w:rPr>
                <w:b/>
                <w:bCs/>
                <w:sz w:val="22"/>
                <w:szCs w:val="22"/>
                <w:lang w:val="en-IN" w:eastAsia="en-IN"/>
              </w:rPr>
            </w:pPr>
            <w:r w:rsidRPr="009A6247">
              <w:rPr>
                <w:b/>
                <w:bCs/>
                <w:sz w:val="22"/>
                <w:szCs w:val="22"/>
                <w:lang w:val="en-IN" w:eastAsia="en-IN"/>
              </w:rPr>
              <w:t>FY 2015-16</w:t>
            </w:r>
          </w:p>
        </w:tc>
        <w:tc>
          <w:tcPr>
            <w:tcW w:w="1667" w:type="pct"/>
            <w:shd w:val="clear" w:color="000000" w:fill="ACB9CA"/>
            <w:vAlign w:val="center"/>
            <w:hideMark/>
          </w:tcPr>
          <w:p w:rsidR="009846CC" w:rsidRPr="009A6247" w:rsidRDefault="009846CC" w:rsidP="00E16426">
            <w:pPr>
              <w:spacing w:line="240" w:lineRule="auto"/>
              <w:jc w:val="center"/>
              <w:rPr>
                <w:b/>
                <w:bCs/>
                <w:sz w:val="22"/>
                <w:szCs w:val="22"/>
                <w:lang w:val="en-IN" w:eastAsia="en-IN"/>
              </w:rPr>
            </w:pPr>
            <w:r w:rsidRPr="009A6247">
              <w:rPr>
                <w:b/>
                <w:bCs/>
                <w:sz w:val="22"/>
                <w:szCs w:val="22"/>
                <w:lang w:val="en-IN" w:eastAsia="en-IN"/>
              </w:rPr>
              <w:t>FY 2016-17</w:t>
            </w:r>
          </w:p>
        </w:tc>
        <w:tc>
          <w:tcPr>
            <w:tcW w:w="1667" w:type="pct"/>
            <w:shd w:val="clear" w:color="000000" w:fill="ACB9CA"/>
            <w:vAlign w:val="center"/>
            <w:hideMark/>
          </w:tcPr>
          <w:p w:rsidR="009846CC" w:rsidRPr="009A6247" w:rsidRDefault="009846CC" w:rsidP="00E16426">
            <w:pPr>
              <w:spacing w:line="240" w:lineRule="auto"/>
              <w:jc w:val="center"/>
              <w:rPr>
                <w:b/>
                <w:bCs/>
                <w:sz w:val="22"/>
                <w:szCs w:val="22"/>
                <w:lang w:val="en-IN" w:eastAsia="en-IN"/>
              </w:rPr>
            </w:pPr>
            <w:r w:rsidRPr="009A6247">
              <w:rPr>
                <w:b/>
                <w:bCs/>
                <w:sz w:val="22"/>
                <w:szCs w:val="22"/>
                <w:lang w:val="en-IN" w:eastAsia="en-IN"/>
              </w:rPr>
              <w:t>FY 2017-18</w:t>
            </w:r>
          </w:p>
        </w:tc>
      </w:tr>
      <w:tr w:rsidR="009846CC" w:rsidRPr="009A6247" w:rsidTr="00E16426">
        <w:trPr>
          <w:trHeight w:val="300"/>
          <w:jc w:val="center"/>
        </w:trPr>
        <w:tc>
          <w:tcPr>
            <w:tcW w:w="1667" w:type="pct"/>
            <w:shd w:val="clear" w:color="auto" w:fill="auto"/>
            <w:vAlign w:val="center"/>
            <w:hideMark/>
          </w:tcPr>
          <w:p w:rsidR="009846CC" w:rsidRPr="00AB4DE0" w:rsidRDefault="009846CC" w:rsidP="00735CAB">
            <w:pPr>
              <w:spacing w:line="240" w:lineRule="auto"/>
              <w:jc w:val="right"/>
              <w:rPr>
                <w:sz w:val="22"/>
                <w:szCs w:val="22"/>
                <w:lang w:val="en-IN" w:eastAsia="en-IN"/>
              </w:rPr>
            </w:pPr>
            <w:r w:rsidRPr="00AB4DE0">
              <w:rPr>
                <w:sz w:val="22"/>
                <w:szCs w:val="22"/>
                <w:lang w:val="en-IN" w:eastAsia="en-IN"/>
              </w:rPr>
              <w:t>13.67%</w:t>
            </w:r>
          </w:p>
        </w:tc>
        <w:tc>
          <w:tcPr>
            <w:tcW w:w="1667" w:type="pct"/>
            <w:shd w:val="clear" w:color="auto" w:fill="auto"/>
            <w:vAlign w:val="center"/>
            <w:hideMark/>
          </w:tcPr>
          <w:p w:rsidR="009846CC" w:rsidRPr="00AB4DE0" w:rsidRDefault="009846CC" w:rsidP="00735CAB">
            <w:pPr>
              <w:spacing w:line="240" w:lineRule="auto"/>
              <w:jc w:val="right"/>
              <w:rPr>
                <w:sz w:val="22"/>
                <w:szCs w:val="22"/>
                <w:lang w:val="en-IN" w:eastAsia="en-IN"/>
              </w:rPr>
            </w:pPr>
            <w:r w:rsidRPr="00AB4DE0">
              <w:rPr>
                <w:sz w:val="22"/>
                <w:szCs w:val="22"/>
                <w:lang w:val="en-IN" w:eastAsia="en-IN"/>
              </w:rPr>
              <w:t>13.78%</w:t>
            </w:r>
          </w:p>
        </w:tc>
        <w:tc>
          <w:tcPr>
            <w:tcW w:w="1667" w:type="pct"/>
            <w:shd w:val="clear" w:color="auto" w:fill="auto"/>
            <w:vAlign w:val="center"/>
            <w:hideMark/>
          </w:tcPr>
          <w:p w:rsidR="009846CC" w:rsidRPr="00AB4DE0" w:rsidRDefault="00106C4F" w:rsidP="00735CAB">
            <w:pPr>
              <w:spacing w:line="240" w:lineRule="auto"/>
              <w:jc w:val="right"/>
              <w:rPr>
                <w:sz w:val="22"/>
                <w:szCs w:val="22"/>
                <w:lang w:val="en-IN" w:eastAsia="en-IN"/>
              </w:rPr>
            </w:pPr>
            <w:r>
              <w:rPr>
                <w:sz w:val="22"/>
                <w:szCs w:val="22"/>
                <w:lang w:val="en-IN" w:eastAsia="en-IN"/>
              </w:rPr>
              <w:t>13.75</w:t>
            </w:r>
            <w:r w:rsidR="009846CC" w:rsidRPr="00AB4DE0">
              <w:rPr>
                <w:sz w:val="22"/>
                <w:szCs w:val="22"/>
                <w:lang w:val="en-IN" w:eastAsia="en-IN"/>
              </w:rPr>
              <w:t>%</w:t>
            </w:r>
          </w:p>
        </w:tc>
      </w:tr>
    </w:tbl>
    <w:p w:rsidR="009846CC" w:rsidRPr="00AB4DE0" w:rsidRDefault="009846CC" w:rsidP="009846CC">
      <w:pPr>
        <w:pStyle w:val="EDNormal"/>
        <w:rPr>
          <w:lang w:val="en-IN" w:bidi="hi-IN"/>
        </w:rPr>
      </w:pPr>
    </w:p>
    <w:p w:rsidR="009846CC" w:rsidRDefault="009846CC" w:rsidP="009846CC">
      <w:pPr>
        <w:pStyle w:val="ED-H3"/>
      </w:pPr>
      <w:r>
        <w:t>Efforts are being taken to reduce these losses further and implementation of JICA schemes is anticipated to reduce the losses accordingly the proposed distribution loss reduction trajectory proposed by PED for the control period is mentioned below.</w:t>
      </w:r>
    </w:p>
    <w:p w:rsidR="00873583" w:rsidRPr="00873583" w:rsidRDefault="00873583" w:rsidP="00873583">
      <w:pPr>
        <w:pStyle w:val="EDNormal"/>
        <w:rPr>
          <w:lang w:val="en-IN" w:bidi="hi-IN"/>
        </w:rPr>
      </w:pPr>
    </w:p>
    <w:p w:rsidR="009846CC" w:rsidRDefault="009846CC" w:rsidP="00061AA6">
      <w:pPr>
        <w:pStyle w:val="Caption"/>
      </w:pPr>
      <w:bookmarkStart w:id="109" w:name="_Toc426377590"/>
      <w:bookmarkStart w:id="110" w:name="_Toc523719576"/>
      <w:r>
        <w:t xml:space="preserve">Table </w:t>
      </w:r>
      <w:r w:rsidR="00140E1B">
        <w:fldChar w:fldCharType="begin"/>
      </w:r>
      <w:r>
        <w:instrText xml:space="preserve"> SEQ Table \* ARABIC </w:instrText>
      </w:r>
      <w:r w:rsidR="00140E1B">
        <w:fldChar w:fldCharType="separate"/>
      </w:r>
      <w:r w:rsidR="004B7EE5">
        <w:rPr>
          <w:noProof/>
        </w:rPr>
        <w:t>17</w:t>
      </w:r>
      <w:r w:rsidR="00140E1B">
        <w:rPr>
          <w:noProof/>
        </w:rPr>
        <w:fldChar w:fldCharType="end"/>
      </w:r>
      <w:r>
        <w:t>: Distribution Loss Reduction (%) Trajectory for the Control Period</w:t>
      </w:r>
      <w:bookmarkEnd w:id="109"/>
      <w:bookmarkEnd w:id="1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2"/>
        <w:gridCol w:w="2311"/>
        <w:gridCol w:w="2311"/>
        <w:gridCol w:w="2311"/>
      </w:tblGrid>
      <w:tr w:rsidR="009846CC" w:rsidRPr="009A6247" w:rsidTr="00AB4DE0">
        <w:trPr>
          <w:trHeight w:val="300"/>
        </w:trPr>
        <w:tc>
          <w:tcPr>
            <w:tcW w:w="1250" w:type="pct"/>
            <w:shd w:val="clear" w:color="000000" w:fill="ACB9CA"/>
            <w:noWrap/>
            <w:vAlign w:val="center"/>
            <w:hideMark/>
          </w:tcPr>
          <w:p w:rsidR="009846CC" w:rsidRPr="009A6247" w:rsidRDefault="009846CC" w:rsidP="00E16426">
            <w:pPr>
              <w:spacing w:line="240" w:lineRule="auto"/>
              <w:jc w:val="center"/>
              <w:rPr>
                <w:b/>
                <w:bCs/>
                <w:color w:val="000000"/>
                <w:sz w:val="22"/>
                <w:szCs w:val="22"/>
                <w:lang w:val="en-IN" w:eastAsia="en-IN"/>
              </w:rPr>
            </w:pPr>
            <w:r>
              <w:rPr>
                <w:b/>
                <w:bCs/>
                <w:color w:val="000000"/>
                <w:sz w:val="22"/>
                <w:szCs w:val="22"/>
                <w:lang w:val="en-IN" w:eastAsia="en-IN"/>
              </w:rPr>
              <w:t>Base Year</w:t>
            </w:r>
          </w:p>
        </w:tc>
        <w:tc>
          <w:tcPr>
            <w:tcW w:w="3750" w:type="pct"/>
            <w:gridSpan w:val="3"/>
            <w:shd w:val="clear" w:color="000000" w:fill="ACB9CA"/>
            <w:vAlign w:val="center"/>
          </w:tcPr>
          <w:p w:rsidR="009846CC" w:rsidRPr="009A6247" w:rsidRDefault="009846CC" w:rsidP="00E16426">
            <w:pPr>
              <w:spacing w:line="240" w:lineRule="auto"/>
              <w:jc w:val="center"/>
              <w:rPr>
                <w:b/>
                <w:bCs/>
                <w:color w:val="000000"/>
                <w:sz w:val="22"/>
                <w:szCs w:val="22"/>
                <w:lang w:val="en-IN" w:eastAsia="en-IN"/>
              </w:rPr>
            </w:pPr>
            <w:r w:rsidRPr="009A6247">
              <w:rPr>
                <w:b/>
                <w:bCs/>
                <w:color w:val="000000"/>
                <w:sz w:val="22"/>
                <w:szCs w:val="22"/>
                <w:lang w:val="en-IN" w:eastAsia="en-IN"/>
              </w:rPr>
              <w:t>Projections</w:t>
            </w:r>
          </w:p>
        </w:tc>
      </w:tr>
      <w:tr w:rsidR="009846CC" w:rsidRPr="009A6247" w:rsidTr="00AB4DE0">
        <w:trPr>
          <w:trHeight w:val="300"/>
        </w:trPr>
        <w:tc>
          <w:tcPr>
            <w:tcW w:w="1250" w:type="pct"/>
            <w:shd w:val="clear" w:color="000000" w:fill="ACB9CA"/>
            <w:noWrap/>
            <w:vAlign w:val="center"/>
            <w:hideMark/>
          </w:tcPr>
          <w:p w:rsidR="009846CC" w:rsidRPr="009A6247" w:rsidRDefault="009846CC" w:rsidP="00E16426">
            <w:pPr>
              <w:spacing w:line="240" w:lineRule="auto"/>
              <w:jc w:val="center"/>
              <w:rPr>
                <w:b/>
                <w:bCs/>
                <w:color w:val="000000"/>
                <w:sz w:val="22"/>
                <w:szCs w:val="22"/>
                <w:lang w:val="en-IN" w:eastAsia="en-IN"/>
              </w:rPr>
            </w:pPr>
            <w:r w:rsidRPr="009A6247">
              <w:rPr>
                <w:b/>
                <w:bCs/>
                <w:color w:val="000000"/>
                <w:sz w:val="22"/>
                <w:szCs w:val="22"/>
                <w:lang w:val="en-IN" w:eastAsia="en-IN"/>
              </w:rPr>
              <w:t>FY 2018-19</w:t>
            </w:r>
          </w:p>
        </w:tc>
        <w:tc>
          <w:tcPr>
            <w:tcW w:w="1250" w:type="pct"/>
            <w:shd w:val="clear" w:color="000000" w:fill="ACB9CA"/>
            <w:noWrap/>
            <w:vAlign w:val="center"/>
            <w:hideMark/>
          </w:tcPr>
          <w:p w:rsidR="009846CC" w:rsidRPr="009A6247" w:rsidRDefault="009846CC" w:rsidP="00E16426">
            <w:pPr>
              <w:spacing w:line="240" w:lineRule="auto"/>
              <w:jc w:val="center"/>
              <w:rPr>
                <w:b/>
                <w:bCs/>
                <w:color w:val="000000"/>
                <w:sz w:val="22"/>
                <w:szCs w:val="22"/>
                <w:lang w:val="en-IN" w:eastAsia="en-IN"/>
              </w:rPr>
            </w:pPr>
            <w:r w:rsidRPr="009A6247">
              <w:rPr>
                <w:b/>
                <w:bCs/>
                <w:color w:val="000000"/>
                <w:sz w:val="22"/>
                <w:szCs w:val="22"/>
                <w:lang w:val="en-IN" w:eastAsia="en-IN"/>
              </w:rPr>
              <w:t>FY 2019-20</w:t>
            </w:r>
          </w:p>
        </w:tc>
        <w:tc>
          <w:tcPr>
            <w:tcW w:w="1250" w:type="pct"/>
            <w:shd w:val="clear" w:color="000000" w:fill="ACB9CA"/>
            <w:noWrap/>
            <w:vAlign w:val="center"/>
            <w:hideMark/>
          </w:tcPr>
          <w:p w:rsidR="009846CC" w:rsidRPr="009A6247" w:rsidRDefault="009846CC" w:rsidP="00E16426">
            <w:pPr>
              <w:spacing w:line="240" w:lineRule="auto"/>
              <w:jc w:val="center"/>
              <w:rPr>
                <w:b/>
                <w:bCs/>
                <w:color w:val="000000"/>
                <w:sz w:val="22"/>
                <w:szCs w:val="22"/>
                <w:lang w:val="en-IN" w:eastAsia="en-IN"/>
              </w:rPr>
            </w:pPr>
            <w:r w:rsidRPr="009A6247">
              <w:rPr>
                <w:b/>
                <w:bCs/>
                <w:color w:val="000000"/>
                <w:sz w:val="22"/>
                <w:szCs w:val="22"/>
                <w:lang w:val="en-IN" w:eastAsia="en-IN"/>
              </w:rPr>
              <w:t>FY 2020-21</w:t>
            </w:r>
          </w:p>
        </w:tc>
        <w:tc>
          <w:tcPr>
            <w:tcW w:w="1250" w:type="pct"/>
            <w:shd w:val="clear" w:color="000000" w:fill="ACB9CA"/>
            <w:noWrap/>
            <w:vAlign w:val="center"/>
            <w:hideMark/>
          </w:tcPr>
          <w:p w:rsidR="009846CC" w:rsidRPr="009A6247" w:rsidRDefault="009846CC" w:rsidP="00E16426">
            <w:pPr>
              <w:spacing w:line="240" w:lineRule="auto"/>
              <w:jc w:val="center"/>
              <w:rPr>
                <w:b/>
                <w:bCs/>
                <w:color w:val="000000"/>
                <w:sz w:val="22"/>
                <w:szCs w:val="22"/>
                <w:lang w:val="en-IN" w:eastAsia="en-IN"/>
              </w:rPr>
            </w:pPr>
            <w:r w:rsidRPr="009A6247">
              <w:rPr>
                <w:b/>
                <w:bCs/>
                <w:color w:val="000000"/>
                <w:sz w:val="22"/>
                <w:szCs w:val="22"/>
                <w:lang w:val="en-IN" w:eastAsia="en-IN"/>
              </w:rPr>
              <w:t>FY 2021-22</w:t>
            </w:r>
          </w:p>
        </w:tc>
      </w:tr>
      <w:tr w:rsidR="009846CC" w:rsidRPr="00AB4DE0" w:rsidTr="00AB4DE0">
        <w:trPr>
          <w:trHeight w:val="300"/>
        </w:trPr>
        <w:tc>
          <w:tcPr>
            <w:tcW w:w="1250" w:type="pct"/>
            <w:shd w:val="clear" w:color="auto" w:fill="auto"/>
            <w:vAlign w:val="center"/>
            <w:hideMark/>
          </w:tcPr>
          <w:p w:rsidR="009846CC" w:rsidRPr="00AB4DE0" w:rsidRDefault="009846CC" w:rsidP="00735CAB">
            <w:pPr>
              <w:spacing w:line="240" w:lineRule="auto"/>
              <w:jc w:val="right"/>
              <w:rPr>
                <w:sz w:val="22"/>
                <w:szCs w:val="22"/>
                <w:lang w:val="en-IN" w:eastAsia="en-IN"/>
              </w:rPr>
            </w:pPr>
            <w:r w:rsidRPr="00AB4DE0">
              <w:rPr>
                <w:sz w:val="22"/>
                <w:szCs w:val="22"/>
                <w:lang w:val="en-IN" w:eastAsia="en-IN"/>
              </w:rPr>
              <w:t>13.00%</w:t>
            </w:r>
          </w:p>
        </w:tc>
        <w:tc>
          <w:tcPr>
            <w:tcW w:w="1250" w:type="pct"/>
            <w:shd w:val="clear" w:color="auto" w:fill="auto"/>
            <w:vAlign w:val="center"/>
            <w:hideMark/>
          </w:tcPr>
          <w:p w:rsidR="009846CC" w:rsidRPr="00AB4DE0" w:rsidRDefault="009846CC" w:rsidP="00735CAB">
            <w:pPr>
              <w:spacing w:line="240" w:lineRule="auto"/>
              <w:jc w:val="right"/>
              <w:rPr>
                <w:sz w:val="22"/>
                <w:szCs w:val="22"/>
                <w:lang w:val="en-IN" w:eastAsia="en-IN"/>
              </w:rPr>
            </w:pPr>
            <w:r w:rsidRPr="00AB4DE0">
              <w:rPr>
                <w:sz w:val="22"/>
                <w:szCs w:val="22"/>
                <w:lang w:val="en-IN" w:eastAsia="en-IN"/>
              </w:rPr>
              <w:t>12.50%</w:t>
            </w:r>
          </w:p>
        </w:tc>
        <w:tc>
          <w:tcPr>
            <w:tcW w:w="1250" w:type="pct"/>
            <w:shd w:val="clear" w:color="auto" w:fill="auto"/>
            <w:vAlign w:val="center"/>
            <w:hideMark/>
          </w:tcPr>
          <w:p w:rsidR="009846CC" w:rsidRPr="00AB4DE0" w:rsidRDefault="009846CC" w:rsidP="00735CAB">
            <w:pPr>
              <w:spacing w:line="240" w:lineRule="auto"/>
              <w:jc w:val="right"/>
              <w:rPr>
                <w:sz w:val="22"/>
                <w:szCs w:val="22"/>
                <w:lang w:val="en-IN" w:eastAsia="en-IN"/>
              </w:rPr>
            </w:pPr>
            <w:r w:rsidRPr="00AB4DE0">
              <w:rPr>
                <w:sz w:val="22"/>
                <w:szCs w:val="22"/>
                <w:lang w:val="en-IN" w:eastAsia="en-IN"/>
              </w:rPr>
              <w:t>12.00%</w:t>
            </w:r>
          </w:p>
        </w:tc>
        <w:tc>
          <w:tcPr>
            <w:tcW w:w="1250" w:type="pct"/>
            <w:shd w:val="clear" w:color="auto" w:fill="auto"/>
            <w:vAlign w:val="center"/>
            <w:hideMark/>
          </w:tcPr>
          <w:p w:rsidR="009846CC" w:rsidRPr="00AB4DE0" w:rsidRDefault="009846CC" w:rsidP="00735CAB">
            <w:pPr>
              <w:spacing w:line="240" w:lineRule="auto"/>
              <w:jc w:val="right"/>
              <w:rPr>
                <w:sz w:val="22"/>
                <w:szCs w:val="22"/>
                <w:lang w:val="en-IN" w:eastAsia="en-IN"/>
              </w:rPr>
            </w:pPr>
            <w:r w:rsidRPr="00AB4DE0">
              <w:rPr>
                <w:sz w:val="22"/>
                <w:szCs w:val="22"/>
                <w:lang w:val="en-IN" w:eastAsia="en-IN"/>
              </w:rPr>
              <w:t>11.75%</w:t>
            </w:r>
          </w:p>
        </w:tc>
      </w:tr>
    </w:tbl>
    <w:p w:rsidR="009846CC" w:rsidRDefault="009846CC" w:rsidP="009846CC">
      <w:pPr>
        <w:pStyle w:val="EDNormal"/>
        <w:jc w:val="center"/>
      </w:pPr>
    </w:p>
    <w:p w:rsidR="009846CC" w:rsidRDefault="009846CC" w:rsidP="009846CC">
      <w:pPr>
        <w:pStyle w:val="EDNormal"/>
        <w:jc w:val="center"/>
      </w:pPr>
    </w:p>
    <w:p w:rsidR="009846CC" w:rsidRDefault="009846CC" w:rsidP="009846CC">
      <w:pPr>
        <w:pStyle w:val="Heading2"/>
        <w:rPr>
          <w:kern w:val="32"/>
          <w:szCs w:val="32"/>
        </w:rPr>
      </w:pPr>
      <w:r>
        <w:br w:type="page"/>
      </w:r>
    </w:p>
    <w:p w:rsidR="00337C5E" w:rsidRDefault="003F0B34">
      <w:pPr>
        <w:pStyle w:val="ED-H1"/>
      </w:pPr>
      <w:bookmarkStart w:id="111" w:name="_Toc523724487"/>
      <w:r w:rsidRPr="002B0880">
        <w:lastRenderedPageBreak/>
        <w:t>POWER PURCHASE PLAN</w:t>
      </w:r>
      <w:bookmarkEnd w:id="111"/>
    </w:p>
    <w:p w:rsidR="003F0B34" w:rsidRDefault="003F0B34" w:rsidP="00287296">
      <w:pPr>
        <w:pStyle w:val="EDNormal"/>
      </w:pPr>
      <w:r w:rsidRPr="00353E51">
        <w:t>The petitioner has to arrange the power requirement of its distribution license area. In the previous section the projected sales and the demand requirement for the license area has been arrived at and based on the same, the power requirement for the control period ha</w:t>
      </w:r>
      <w:r w:rsidR="00A41D6E">
        <w:t>s been discussed in this chapter</w:t>
      </w:r>
      <w:r w:rsidRPr="00353E51">
        <w:t>.</w:t>
      </w:r>
    </w:p>
    <w:p w:rsidR="00BB6950" w:rsidRPr="00353E51" w:rsidRDefault="00BB6950" w:rsidP="00287296">
      <w:pPr>
        <w:pStyle w:val="EDNormal"/>
      </w:pPr>
    </w:p>
    <w:p w:rsidR="00DB1B8F" w:rsidRDefault="00DB1B8F" w:rsidP="00DB1B8F">
      <w:pPr>
        <w:pStyle w:val="ED-H2"/>
        <w:rPr>
          <w:b w:val="0"/>
          <w:lang w:val="en-GB"/>
        </w:rPr>
      </w:pPr>
      <w:bookmarkStart w:id="112" w:name="_Toc523724488"/>
      <w:r w:rsidRPr="00105F99">
        <w:t>Energy</w:t>
      </w:r>
      <w:r w:rsidRPr="000808B7">
        <w:rPr>
          <w:lang w:val="en-GB"/>
        </w:rPr>
        <w:t xml:space="preserve"> Requirement</w:t>
      </w:r>
      <w:bookmarkEnd w:id="112"/>
    </w:p>
    <w:p w:rsidR="00DB1B8F" w:rsidRDefault="00DB1B8F" w:rsidP="00DB1B8F">
      <w:pPr>
        <w:pStyle w:val="ED-H3"/>
      </w:pPr>
      <w:r>
        <w:t>Based on the energy sales and distribution loss trajectory forecasted for the control period, t</w:t>
      </w:r>
      <w:r w:rsidRPr="00A1342C">
        <w:t xml:space="preserve">he </w:t>
      </w:r>
      <w:r>
        <w:t xml:space="preserve">petitioner requests the Hon’ble Commission to approve the proposed </w:t>
      </w:r>
      <w:r w:rsidRPr="00A1342C">
        <w:t xml:space="preserve">energy balance for the control period </w:t>
      </w:r>
      <w:r>
        <w:t>based on the above projections.</w:t>
      </w:r>
    </w:p>
    <w:p w:rsidR="00DB1B8F" w:rsidRDefault="00DB1B8F" w:rsidP="00061AA6">
      <w:pPr>
        <w:pStyle w:val="Caption"/>
      </w:pPr>
      <w:bookmarkStart w:id="113" w:name="_Toc331522310"/>
      <w:bookmarkStart w:id="114" w:name="_Toc523719577"/>
      <w:r w:rsidRPr="00C25790">
        <w:t xml:space="preserve">Table </w:t>
      </w:r>
      <w:r w:rsidR="00140E1B">
        <w:fldChar w:fldCharType="begin"/>
      </w:r>
      <w:r>
        <w:instrText xml:space="preserve"> SEQ Table \* ARABIC </w:instrText>
      </w:r>
      <w:r w:rsidR="00140E1B">
        <w:fldChar w:fldCharType="separate"/>
      </w:r>
      <w:r w:rsidR="004B7EE5">
        <w:rPr>
          <w:noProof/>
        </w:rPr>
        <w:t>18</w:t>
      </w:r>
      <w:r w:rsidR="00140E1B">
        <w:rPr>
          <w:noProof/>
        </w:rPr>
        <w:fldChar w:fldCharType="end"/>
      </w:r>
      <w:r w:rsidRPr="00C25790">
        <w:t>: Energy Balance for the MYT Control Period</w:t>
      </w:r>
      <w:bookmarkEnd w:id="113"/>
      <w:bookmarkEnd w:id="114"/>
    </w:p>
    <w:tbl>
      <w:tblPr>
        <w:tblW w:w="5000" w:type="pct"/>
        <w:tblLook w:val="04A0"/>
      </w:tblPr>
      <w:tblGrid>
        <w:gridCol w:w="3209"/>
        <w:gridCol w:w="1509"/>
        <w:gridCol w:w="1509"/>
        <w:gridCol w:w="1509"/>
        <w:gridCol w:w="1509"/>
      </w:tblGrid>
      <w:tr w:rsidR="0024313A" w:rsidRPr="0024313A" w:rsidTr="0024313A">
        <w:trPr>
          <w:trHeight w:val="300"/>
        </w:trPr>
        <w:tc>
          <w:tcPr>
            <w:tcW w:w="1736" w:type="pct"/>
            <w:vMerge w:val="restart"/>
            <w:tcBorders>
              <w:top w:val="single" w:sz="8" w:space="0" w:color="auto"/>
              <w:left w:val="single" w:sz="4" w:space="0" w:color="auto"/>
              <w:bottom w:val="single" w:sz="4" w:space="0" w:color="auto"/>
              <w:right w:val="single" w:sz="4" w:space="0" w:color="auto"/>
            </w:tcBorders>
            <w:shd w:val="clear" w:color="000000" w:fill="ACB9CA"/>
            <w:vAlign w:val="center"/>
            <w:hideMark/>
          </w:tcPr>
          <w:p w:rsidR="0024313A" w:rsidRPr="0024313A" w:rsidRDefault="0024313A" w:rsidP="0024313A">
            <w:pPr>
              <w:spacing w:line="240" w:lineRule="auto"/>
              <w:jc w:val="center"/>
              <w:rPr>
                <w:b/>
                <w:bCs/>
                <w:sz w:val="22"/>
                <w:szCs w:val="22"/>
                <w:lang w:val="en-IN" w:eastAsia="en-IN"/>
              </w:rPr>
            </w:pPr>
            <w:r w:rsidRPr="0024313A">
              <w:rPr>
                <w:b/>
                <w:bCs/>
                <w:sz w:val="22"/>
                <w:szCs w:val="22"/>
                <w:lang w:val="en-IN" w:eastAsia="en-IN"/>
              </w:rPr>
              <w:t>Energy</w:t>
            </w:r>
            <w:r>
              <w:rPr>
                <w:b/>
                <w:bCs/>
                <w:sz w:val="22"/>
                <w:szCs w:val="22"/>
                <w:lang w:val="en-IN" w:eastAsia="en-IN"/>
              </w:rPr>
              <w:t xml:space="preserve"> Requirement</w:t>
            </w:r>
            <w:r w:rsidRPr="0024313A">
              <w:rPr>
                <w:b/>
                <w:bCs/>
                <w:sz w:val="22"/>
                <w:szCs w:val="22"/>
                <w:lang w:val="en-IN" w:eastAsia="en-IN"/>
              </w:rPr>
              <w:t xml:space="preserve"> (MU)</w:t>
            </w:r>
          </w:p>
        </w:tc>
        <w:tc>
          <w:tcPr>
            <w:tcW w:w="3264" w:type="pct"/>
            <w:gridSpan w:val="4"/>
            <w:tcBorders>
              <w:top w:val="single" w:sz="4" w:space="0" w:color="auto"/>
              <w:left w:val="single" w:sz="4" w:space="0" w:color="auto"/>
              <w:bottom w:val="single" w:sz="4" w:space="0" w:color="auto"/>
              <w:right w:val="single" w:sz="4" w:space="0" w:color="auto"/>
            </w:tcBorders>
            <w:shd w:val="clear" w:color="000000" w:fill="ACB9CA"/>
            <w:noWrap/>
            <w:vAlign w:val="center"/>
            <w:hideMark/>
          </w:tcPr>
          <w:p w:rsidR="0024313A" w:rsidRPr="0024313A" w:rsidRDefault="0024313A" w:rsidP="0024313A">
            <w:pPr>
              <w:spacing w:line="240" w:lineRule="auto"/>
              <w:jc w:val="center"/>
              <w:rPr>
                <w:b/>
                <w:bCs/>
                <w:color w:val="000000"/>
                <w:sz w:val="22"/>
                <w:szCs w:val="22"/>
                <w:lang w:val="en-IN" w:eastAsia="en-IN"/>
              </w:rPr>
            </w:pPr>
            <w:r w:rsidRPr="0024313A">
              <w:rPr>
                <w:b/>
                <w:bCs/>
                <w:color w:val="000000"/>
                <w:sz w:val="22"/>
                <w:szCs w:val="22"/>
                <w:lang w:val="en-IN" w:eastAsia="en-IN"/>
              </w:rPr>
              <w:t>Projections</w:t>
            </w:r>
          </w:p>
        </w:tc>
      </w:tr>
      <w:tr w:rsidR="0024313A" w:rsidRPr="0024313A" w:rsidTr="0024313A">
        <w:trPr>
          <w:trHeight w:val="300"/>
        </w:trPr>
        <w:tc>
          <w:tcPr>
            <w:tcW w:w="1736" w:type="pct"/>
            <w:vMerge/>
            <w:tcBorders>
              <w:top w:val="single" w:sz="8" w:space="0" w:color="auto"/>
              <w:left w:val="single" w:sz="4" w:space="0" w:color="auto"/>
              <w:bottom w:val="single" w:sz="4" w:space="0" w:color="auto"/>
              <w:right w:val="single" w:sz="4" w:space="0" w:color="auto"/>
            </w:tcBorders>
            <w:vAlign w:val="center"/>
            <w:hideMark/>
          </w:tcPr>
          <w:p w:rsidR="0024313A" w:rsidRPr="0024313A" w:rsidRDefault="0024313A" w:rsidP="0024313A">
            <w:pPr>
              <w:spacing w:line="240" w:lineRule="auto"/>
              <w:jc w:val="left"/>
              <w:rPr>
                <w:b/>
                <w:bCs/>
                <w:sz w:val="22"/>
                <w:szCs w:val="22"/>
                <w:lang w:val="en-IN" w:eastAsia="en-IN"/>
              </w:rPr>
            </w:pPr>
          </w:p>
        </w:tc>
        <w:tc>
          <w:tcPr>
            <w:tcW w:w="816" w:type="pct"/>
            <w:tcBorders>
              <w:top w:val="nil"/>
              <w:left w:val="nil"/>
              <w:bottom w:val="single" w:sz="4" w:space="0" w:color="auto"/>
              <w:right w:val="single" w:sz="4" w:space="0" w:color="auto"/>
            </w:tcBorders>
            <w:shd w:val="clear" w:color="000000" w:fill="ACB9CA"/>
            <w:noWrap/>
            <w:vAlign w:val="center"/>
            <w:hideMark/>
          </w:tcPr>
          <w:p w:rsidR="0024313A" w:rsidRPr="0024313A" w:rsidRDefault="0024313A" w:rsidP="0024313A">
            <w:pPr>
              <w:spacing w:line="240" w:lineRule="auto"/>
              <w:jc w:val="center"/>
              <w:rPr>
                <w:b/>
                <w:bCs/>
                <w:color w:val="000000"/>
                <w:sz w:val="22"/>
                <w:szCs w:val="22"/>
                <w:lang w:val="en-IN" w:eastAsia="en-IN"/>
              </w:rPr>
            </w:pPr>
            <w:r w:rsidRPr="0024313A">
              <w:rPr>
                <w:b/>
                <w:bCs/>
                <w:color w:val="000000"/>
                <w:sz w:val="22"/>
                <w:szCs w:val="22"/>
                <w:lang w:val="en-IN" w:eastAsia="en-IN"/>
              </w:rPr>
              <w:t>FY 2018-19</w:t>
            </w:r>
          </w:p>
        </w:tc>
        <w:tc>
          <w:tcPr>
            <w:tcW w:w="816" w:type="pct"/>
            <w:tcBorders>
              <w:top w:val="nil"/>
              <w:left w:val="nil"/>
              <w:bottom w:val="single" w:sz="4" w:space="0" w:color="auto"/>
              <w:right w:val="single" w:sz="4" w:space="0" w:color="auto"/>
            </w:tcBorders>
            <w:shd w:val="clear" w:color="000000" w:fill="ACB9CA"/>
            <w:noWrap/>
            <w:vAlign w:val="center"/>
            <w:hideMark/>
          </w:tcPr>
          <w:p w:rsidR="0024313A" w:rsidRPr="0024313A" w:rsidRDefault="0024313A" w:rsidP="0024313A">
            <w:pPr>
              <w:spacing w:line="240" w:lineRule="auto"/>
              <w:jc w:val="center"/>
              <w:rPr>
                <w:b/>
                <w:bCs/>
                <w:color w:val="000000"/>
                <w:sz w:val="22"/>
                <w:szCs w:val="22"/>
                <w:lang w:val="en-IN" w:eastAsia="en-IN"/>
              </w:rPr>
            </w:pPr>
            <w:r w:rsidRPr="0024313A">
              <w:rPr>
                <w:b/>
                <w:bCs/>
                <w:color w:val="000000"/>
                <w:sz w:val="22"/>
                <w:szCs w:val="22"/>
                <w:lang w:val="en-IN" w:eastAsia="en-IN"/>
              </w:rPr>
              <w:t>FY 2019-20</w:t>
            </w:r>
          </w:p>
        </w:tc>
        <w:tc>
          <w:tcPr>
            <w:tcW w:w="816" w:type="pct"/>
            <w:tcBorders>
              <w:top w:val="nil"/>
              <w:left w:val="nil"/>
              <w:bottom w:val="single" w:sz="4" w:space="0" w:color="auto"/>
              <w:right w:val="single" w:sz="4" w:space="0" w:color="auto"/>
            </w:tcBorders>
            <w:shd w:val="clear" w:color="000000" w:fill="ACB9CA"/>
            <w:noWrap/>
            <w:vAlign w:val="center"/>
            <w:hideMark/>
          </w:tcPr>
          <w:p w:rsidR="0024313A" w:rsidRPr="0024313A" w:rsidRDefault="0024313A" w:rsidP="0024313A">
            <w:pPr>
              <w:spacing w:line="240" w:lineRule="auto"/>
              <w:jc w:val="center"/>
              <w:rPr>
                <w:b/>
                <w:bCs/>
                <w:color w:val="000000"/>
                <w:sz w:val="22"/>
                <w:szCs w:val="22"/>
                <w:lang w:val="en-IN" w:eastAsia="en-IN"/>
              </w:rPr>
            </w:pPr>
            <w:r w:rsidRPr="0024313A">
              <w:rPr>
                <w:b/>
                <w:bCs/>
                <w:color w:val="000000"/>
                <w:sz w:val="22"/>
                <w:szCs w:val="22"/>
                <w:lang w:val="en-IN" w:eastAsia="en-IN"/>
              </w:rPr>
              <w:t>FY 2020-21</w:t>
            </w:r>
          </w:p>
        </w:tc>
        <w:tc>
          <w:tcPr>
            <w:tcW w:w="816" w:type="pct"/>
            <w:tcBorders>
              <w:top w:val="nil"/>
              <w:left w:val="nil"/>
              <w:bottom w:val="single" w:sz="4" w:space="0" w:color="auto"/>
              <w:right w:val="single" w:sz="4" w:space="0" w:color="auto"/>
            </w:tcBorders>
            <w:shd w:val="clear" w:color="000000" w:fill="ACB9CA"/>
            <w:noWrap/>
            <w:vAlign w:val="center"/>
            <w:hideMark/>
          </w:tcPr>
          <w:p w:rsidR="0024313A" w:rsidRPr="0024313A" w:rsidRDefault="0024313A" w:rsidP="0024313A">
            <w:pPr>
              <w:spacing w:line="240" w:lineRule="auto"/>
              <w:jc w:val="center"/>
              <w:rPr>
                <w:b/>
                <w:bCs/>
                <w:color w:val="000000"/>
                <w:sz w:val="22"/>
                <w:szCs w:val="22"/>
                <w:lang w:val="en-IN" w:eastAsia="en-IN"/>
              </w:rPr>
            </w:pPr>
            <w:r w:rsidRPr="0024313A">
              <w:rPr>
                <w:b/>
                <w:bCs/>
                <w:color w:val="000000"/>
                <w:sz w:val="22"/>
                <w:szCs w:val="22"/>
                <w:lang w:val="en-IN" w:eastAsia="en-IN"/>
              </w:rPr>
              <w:t>FY 2021-22</w:t>
            </w:r>
          </w:p>
        </w:tc>
      </w:tr>
      <w:tr w:rsidR="002540BE" w:rsidRPr="0024313A" w:rsidTr="0024313A">
        <w:trPr>
          <w:trHeight w:val="300"/>
        </w:trPr>
        <w:tc>
          <w:tcPr>
            <w:tcW w:w="1736" w:type="pct"/>
            <w:tcBorders>
              <w:top w:val="nil"/>
              <w:left w:val="single" w:sz="4" w:space="0" w:color="auto"/>
              <w:bottom w:val="single" w:sz="4" w:space="0" w:color="auto"/>
              <w:right w:val="single" w:sz="4" w:space="0" w:color="auto"/>
            </w:tcBorders>
            <w:shd w:val="clear" w:color="auto" w:fill="auto"/>
            <w:hideMark/>
          </w:tcPr>
          <w:p w:rsidR="002540BE" w:rsidRPr="0024313A" w:rsidRDefault="002540BE" w:rsidP="002540BE">
            <w:pPr>
              <w:spacing w:line="240" w:lineRule="auto"/>
              <w:jc w:val="left"/>
              <w:rPr>
                <w:b/>
                <w:bCs/>
                <w:sz w:val="22"/>
                <w:szCs w:val="22"/>
                <w:lang w:val="en-IN" w:eastAsia="en-IN"/>
              </w:rPr>
            </w:pPr>
            <w:r w:rsidRPr="0024313A">
              <w:rPr>
                <w:b/>
                <w:bCs/>
                <w:sz w:val="22"/>
                <w:szCs w:val="22"/>
                <w:lang w:val="en-IN" w:eastAsia="en-IN"/>
              </w:rPr>
              <w:t>Total Sales within the UT</w:t>
            </w:r>
          </w:p>
        </w:tc>
        <w:tc>
          <w:tcPr>
            <w:tcW w:w="816" w:type="pct"/>
            <w:tcBorders>
              <w:top w:val="nil"/>
              <w:left w:val="nil"/>
              <w:bottom w:val="single" w:sz="4" w:space="0" w:color="auto"/>
              <w:right w:val="single" w:sz="4" w:space="0" w:color="auto"/>
            </w:tcBorders>
            <w:shd w:val="clear" w:color="auto" w:fill="auto"/>
            <w:vAlign w:val="center"/>
            <w:hideMark/>
          </w:tcPr>
          <w:p w:rsidR="002540BE" w:rsidRDefault="002540BE" w:rsidP="00735CAB">
            <w:pPr>
              <w:spacing w:line="240" w:lineRule="auto"/>
              <w:jc w:val="right"/>
              <w:rPr>
                <w:b/>
                <w:bCs/>
                <w:sz w:val="22"/>
                <w:szCs w:val="22"/>
                <w:lang w:val="en-IN"/>
              </w:rPr>
            </w:pPr>
            <w:r>
              <w:rPr>
                <w:b/>
                <w:bCs/>
                <w:sz w:val="22"/>
                <w:szCs w:val="22"/>
              </w:rPr>
              <w:t xml:space="preserve">  2,644 </w:t>
            </w:r>
          </w:p>
        </w:tc>
        <w:tc>
          <w:tcPr>
            <w:tcW w:w="816" w:type="pct"/>
            <w:tcBorders>
              <w:top w:val="nil"/>
              <w:left w:val="nil"/>
              <w:bottom w:val="single" w:sz="4" w:space="0" w:color="auto"/>
              <w:right w:val="single" w:sz="4" w:space="0" w:color="auto"/>
            </w:tcBorders>
            <w:shd w:val="clear" w:color="auto" w:fill="auto"/>
            <w:vAlign w:val="center"/>
            <w:hideMark/>
          </w:tcPr>
          <w:p w:rsidR="002540BE" w:rsidRDefault="002540BE" w:rsidP="00735CAB">
            <w:pPr>
              <w:jc w:val="right"/>
              <w:rPr>
                <w:b/>
                <w:bCs/>
                <w:sz w:val="22"/>
                <w:szCs w:val="22"/>
              </w:rPr>
            </w:pPr>
            <w:r>
              <w:rPr>
                <w:b/>
                <w:bCs/>
                <w:sz w:val="22"/>
                <w:szCs w:val="22"/>
              </w:rPr>
              <w:t>2,733</w:t>
            </w:r>
          </w:p>
        </w:tc>
        <w:tc>
          <w:tcPr>
            <w:tcW w:w="816" w:type="pct"/>
            <w:tcBorders>
              <w:top w:val="nil"/>
              <w:left w:val="nil"/>
              <w:bottom w:val="single" w:sz="4" w:space="0" w:color="auto"/>
              <w:right w:val="single" w:sz="4" w:space="0" w:color="auto"/>
            </w:tcBorders>
            <w:shd w:val="clear" w:color="auto" w:fill="auto"/>
            <w:vAlign w:val="center"/>
            <w:hideMark/>
          </w:tcPr>
          <w:p w:rsidR="002540BE" w:rsidRDefault="002540BE" w:rsidP="00735CAB">
            <w:pPr>
              <w:jc w:val="right"/>
              <w:rPr>
                <w:b/>
                <w:bCs/>
                <w:sz w:val="22"/>
                <w:szCs w:val="22"/>
              </w:rPr>
            </w:pPr>
            <w:r>
              <w:rPr>
                <w:b/>
                <w:bCs/>
                <w:sz w:val="22"/>
                <w:szCs w:val="22"/>
              </w:rPr>
              <w:t>2,842</w:t>
            </w:r>
          </w:p>
        </w:tc>
        <w:tc>
          <w:tcPr>
            <w:tcW w:w="816" w:type="pct"/>
            <w:tcBorders>
              <w:top w:val="nil"/>
              <w:left w:val="nil"/>
              <w:bottom w:val="single" w:sz="4" w:space="0" w:color="auto"/>
              <w:right w:val="single" w:sz="4" w:space="0" w:color="auto"/>
            </w:tcBorders>
            <w:shd w:val="clear" w:color="auto" w:fill="auto"/>
            <w:vAlign w:val="center"/>
            <w:hideMark/>
          </w:tcPr>
          <w:p w:rsidR="002540BE" w:rsidRDefault="002540BE" w:rsidP="00735CAB">
            <w:pPr>
              <w:jc w:val="right"/>
              <w:rPr>
                <w:b/>
                <w:bCs/>
                <w:sz w:val="22"/>
                <w:szCs w:val="22"/>
              </w:rPr>
            </w:pPr>
            <w:r>
              <w:rPr>
                <w:b/>
                <w:bCs/>
                <w:sz w:val="22"/>
                <w:szCs w:val="22"/>
              </w:rPr>
              <w:t>2,960</w:t>
            </w:r>
          </w:p>
        </w:tc>
      </w:tr>
      <w:tr w:rsidR="0024313A" w:rsidRPr="0024313A" w:rsidTr="0024313A">
        <w:trPr>
          <w:trHeight w:val="330"/>
        </w:trPr>
        <w:tc>
          <w:tcPr>
            <w:tcW w:w="1736" w:type="pct"/>
            <w:tcBorders>
              <w:top w:val="nil"/>
              <w:left w:val="single" w:sz="4" w:space="0" w:color="auto"/>
              <w:bottom w:val="single" w:sz="4" w:space="0" w:color="auto"/>
              <w:right w:val="single" w:sz="4" w:space="0" w:color="auto"/>
            </w:tcBorders>
            <w:shd w:val="clear" w:color="auto" w:fill="auto"/>
            <w:hideMark/>
          </w:tcPr>
          <w:p w:rsidR="0024313A" w:rsidRPr="0024313A" w:rsidRDefault="0024313A" w:rsidP="0024313A">
            <w:pPr>
              <w:spacing w:line="240" w:lineRule="auto"/>
              <w:jc w:val="left"/>
              <w:rPr>
                <w:sz w:val="22"/>
                <w:szCs w:val="22"/>
                <w:lang w:val="en-IN" w:eastAsia="en-IN"/>
              </w:rPr>
            </w:pPr>
            <w:r w:rsidRPr="0024313A">
              <w:rPr>
                <w:sz w:val="22"/>
                <w:szCs w:val="22"/>
                <w:lang w:val="en-IN" w:eastAsia="en-IN"/>
              </w:rPr>
              <w:t>Loss(%)</w:t>
            </w:r>
          </w:p>
        </w:tc>
        <w:tc>
          <w:tcPr>
            <w:tcW w:w="816" w:type="pct"/>
            <w:tcBorders>
              <w:top w:val="nil"/>
              <w:left w:val="nil"/>
              <w:bottom w:val="single" w:sz="4" w:space="0" w:color="auto"/>
              <w:right w:val="single" w:sz="4" w:space="0" w:color="auto"/>
            </w:tcBorders>
            <w:shd w:val="clear" w:color="auto" w:fill="auto"/>
            <w:vAlign w:val="center"/>
            <w:hideMark/>
          </w:tcPr>
          <w:p w:rsidR="0024313A" w:rsidRPr="0024313A" w:rsidRDefault="0024313A" w:rsidP="00735CAB">
            <w:pPr>
              <w:spacing w:line="240" w:lineRule="auto"/>
              <w:jc w:val="right"/>
              <w:rPr>
                <w:sz w:val="22"/>
                <w:szCs w:val="22"/>
                <w:lang w:val="en-IN" w:eastAsia="en-IN"/>
              </w:rPr>
            </w:pPr>
            <w:r w:rsidRPr="0024313A">
              <w:rPr>
                <w:sz w:val="22"/>
                <w:szCs w:val="22"/>
                <w:lang w:val="en-IN" w:eastAsia="en-IN"/>
              </w:rPr>
              <w:t>13.00%</w:t>
            </w:r>
          </w:p>
        </w:tc>
        <w:tc>
          <w:tcPr>
            <w:tcW w:w="816" w:type="pct"/>
            <w:tcBorders>
              <w:top w:val="nil"/>
              <w:left w:val="nil"/>
              <w:bottom w:val="single" w:sz="4" w:space="0" w:color="auto"/>
              <w:right w:val="single" w:sz="4" w:space="0" w:color="auto"/>
            </w:tcBorders>
            <w:shd w:val="clear" w:color="auto" w:fill="auto"/>
            <w:vAlign w:val="center"/>
            <w:hideMark/>
          </w:tcPr>
          <w:p w:rsidR="0024313A" w:rsidRPr="0024313A" w:rsidRDefault="0024313A" w:rsidP="00735CAB">
            <w:pPr>
              <w:spacing w:line="240" w:lineRule="auto"/>
              <w:jc w:val="right"/>
              <w:rPr>
                <w:sz w:val="22"/>
                <w:szCs w:val="22"/>
                <w:lang w:val="en-IN" w:eastAsia="en-IN"/>
              </w:rPr>
            </w:pPr>
            <w:r w:rsidRPr="0024313A">
              <w:rPr>
                <w:sz w:val="22"/>
                <w:szCs w:val="22"/>
                <w:lang w:val="en-IN" w:eastAsia="en-IN"/>
              </w:rPr>
              <w:t>12.50%</w:t>
            </w:r>
          </w:p>
        </w:tc>
        <w:tc>
          <w:tcPr>
            <w:tcW w:w="816" w:type="pct"/>
            <w:tcBorders>
              <w:top w:val="nil"/>
              <w:left w:val="nil"/>
              <w:bottom w:val="single" w:sz="4" w:space="0" w:color="auto"/>
              <w:right w:val="single" w:sz="4" w:space="0" w:color="auto"/>
            </w:tcBorders>
            <w:shd w:val="clear" w:color="auto" w:fill="auto"/>
            <w:vAlign w:val="center"/>
            <w:hideMark/>
          </w:tcPr>
          <w:p w:rsidR="0024313A" w:rsidRPr="0024313A" w:rsidRDefault="0024313A" w:rsidP="00735CAB">
            <w:pPr>
              <w:spacing w:line="240" w:lineRule="auto"/>
              <w:jc w:val="right"/>
              <w:rPr>
                <w:sz w:val="22"/>
                <w:szCs w:val="22"/>
                <w:lang w:val="en-IN" w:eastAsia="en-IN"/>
              </w:rPr>
            </w:pPr>
            <w:r w:rsidRPr="0024313A">
              <w:rPr>
                <w:sz w:val="22"/>
                <w:szCs w:val="22"/>
                <w:lang w:val="en-IN" w:eastAsia="en-IN"/>
              </w:rPr>
              <w:t>12.00%</w:t>
            </w:r>
          </w:p>
        </w:tc>
        <w:tc>
          <w:tcPr>
            <w:tcW w:w="816" w:type="pct"/>
            <w:tcBorders>
              <w:top w:val="nil"/>
              <w:left w:val="nil"/>
              <w:bottom w:val="single" w:sz="4" w:space="0" w:color="auto"/>
              <w:right w:val="single" w:sz="4" w:space="0" w:color="auto"/>
            </w:tcBorders>
            <w:shd w:val="clear" w:color="auto" w:fill="auto"/>
            <w:vAlign w:val="center"/>
            <w:hideMark/>
          </w:tcPr>
          <w:p w:rsidR="0024313A" w:rsidRPr="0024313A" w:rsidRDefault="0024313A" w:rsidP="00735CAB">
            <w:pPr>
              <w:spacing w:line="240" w:lineRule="auto"/>
              <w:jc w:val="right"/>
              <w:rPr>
                <w:sz w:val="22"/>
                <w:szCs w:val="22"/>
                <w:lang w:val="en-IN" w:eastAsia="en-IN"/>
              </w:rPr>
            </w:pPr>
            <w:r w:rsidRPr="0024313A">
              <w:rPr>
                <w:sz w:val="22"/>
                <w:szCs w:val="22"/>
                <w:lang w:val="en-IN" w:eastAsia="en-IN"/>
              </w:rPr>
              <w:t>11.75%</w:t>
            </w:r>
          </w:p>
        </w:tc>
      </w:tr>
      <w:tr w:rsidR="0024313A" w:rsidRPr="0024313A" w:rsidTr="0024313A">
        <w:trPr>
          <w:trHeight w:val="300"/>
        </w:trPr>
        <w:tc>
          <w:tcPr>
            <w:tcW w:w="1736" w:type="pct"/>
            <w:tcBorders>
              <w:top w:val="nil"/>
              <w:left w:val="single" w:sz="4" w:space="0" w:color="auto"/>
              <w:bottom w:val="single" w:sz="4" w:space="0" w:color="auto"/>
              <w:right w:val="single" w:sz="4" w:space="0" w:color="auto"/>
            </w:tcBorders>
            <w:shd w:val="clear" w:color="auto" w:fill="auto"/>
            <w:hideMark/>
          </w:tcPr>
          <w:p w:rsidR="0024313A" w:rsidRPr="0024313A" w:rsidRDefault="0024313A" w:rsidP="0024313A">
            <w:pPr>
              <w:spacing w:line="240" w:lineRule="auto"/>
              <w:jc w:val="left"/>
              <w:rPr>
                <w:sz w:val="22"/>
                <w:szCs w:val="22"/>
                <w:lang w:val="en-IN" w:eastAsia="en-IN"/>
              </w:rPr>
            </w:pPr>
            <w:r w:rsidRPr="0024313A">
              <w:rPr>
                <w:sz w:val="22"/>
                <w:szCs w:val="22"/>
                <w:lang w:val="en-IN" w:eastAsia="en-IN"/>
              </w:rPr>
              <w:t>Loss (MU)</w:t>
            </w:r>
          </w:p>
        </w:tc>
        <w:tc>
          <w:tcPr>
            <w:tcW w:w="816" w:type="pct"/>
            <w:tcBorders>
              <w:top w:val="nil"/>
              <w:left w:val="nil"/>
              <w:bottom w:val="single" w:sz="4" w:space="0" w:color="auto"/>
              <w:right w:val="single" w:sz="4" w:space="0" w:color="auto"/>
            </w:tcBorders>
            <w:shd w:val="clear" w:color="auto" w:fill="auto"/>
            <w:vAlign w:val="center"/>
            <w:hideMark/>
          </w:tcPr>
          <w:p w:rsidR="0024313A" w:rsidRPr="0024313A" w:rsidRDefault="002540BE" w:rsidP="00735CAB">
            <w:pPr>
              <w:spacing w:line="240" w:lineRule="auto"/>
              <w:jc w:val="right"/>
              <w:rPr>
                <w:sz w:val="22"/>
                <w:szCs w:val="22"/>
                <w:lang w:val="en-IN" w:eastAsia="en-IN"/>
              </w:rPr>
            </w:pPr>
            <w:r>
              <w:rPr>
                <w:sz w:val="22"/>
                <w:szCs w:val="22"/>
                <w:lang w:val="en-IN" w:eastAsia="en-IN"/>
              </w:rPr>
              <w:t>395</w:t>
            </w:r>
          </w:p>
        </w:tc>
        <w:tc>
          <w:tcPr>
            <w:tcW w:w="816" w:type="pct"/>
            <w:tcBorders>
              <w:top w:val="nil"/>
              <w:left w:val="nil"/>
              <w:bottom w:val="single" w:sz="4" w:space="0" w:color="auto"/>
              <w:right w:val="single" w:sz="4" w:space="0" w:color="auto"/>
            </w:tcBorders>
            <w:shd w:val="clear" w:color="auto" w:fill="auto"/>
            <w:vAlign w:val="center"/>
            <w:hideMark/>
          </w:tcPr>
          <w:p w:rsidR="0024313A" w:rsidRPr="0024313A" w:rsidRDefault="002540BE" w:rsidP="00735CAB">
            <w:pPr>
              <w:spacing w:line="240" w:lineRule="auto"/>
              <w:jc w:val="right"/>
              <w:rPr>
                <w:sz w:val="22"/>
                <w:szCs w:val="22"/>
                <w:lang w:val="en-IN" w:eastAsia="en-IN"/>
              </w:rPr>
            </w:pPr>
            <w:r>
              <w:rPr>
                <w:sz w:val="22"/>
                <w:szCs w:val="22"/>
                <w:lang w:val="en-IN" w:eastAsia="en-IN"/>
              </w:rPr>
              <w:t>390</w:t>
            </w:r>
          </w:p>
        </w:tc>
        <w:tc>
          <w:tcPr>
            <w:tcW w:w="816" w:type="pct"/>
            <w:tcBorders>
              <w:top w:val="nil"/>
              <w:left w:val="nil"/>
              <w:bottom w:val="single" w:sz="4" w:space="0" w:color="auto"/>
              <w:right w:val="single" w:sz="4" w:space="0" w:color="auto"/>
            </w:tcBorders>
            <w:shd w:val="clear" w:color="auto" w:fill="auto"/>
            <w:vAlign w:val="center"/>
            <w:hideMark/>
          </w:tcPr>
          <w:p w:rsidR="0024313A" w:rsidRPr="0024313A" w:rsidRDefault="002540BE" w:rsidP="00735CAB">
            <w:pPr>
              <w:spacing w:line="240" w:lineRule="auto"/>
              <w:jc w:val="right"/>
              <w:rPr>
                <w:sz w:val="22"/>
                <w:szCs w:val="22"/>
                <w:lang w:val="en-IN" w:eastAsia="en-IN"/>
              </w:rPr>
            </w:pPr>
            <w:r>
              <w:rPr>
                <w:sz w:val="22"/>
                <w:szCs w:val="22"/>
                <w:lang w:val="en-IN" w:eastAsia="en-IN"/>
              </w:rPr>
              <w:t>388</w:t>
            </w:r>
          </w:p>
        </w:tc>
        <w:tc>
          <w:tcPr>
            <w:tcW w:w="816" w:type="pct"/>
            <w:tcBorders>
              <w:top w:val="nil"/>
              <w:left w:val="nil"/>
              <w:bottom w:val="single" w:sz="4" w:space="0" w:color="auto"/>
              <w:right w:val="single" w:sz="4" w:space="0" w:color="auto"/>
            </w:tcBorders>
            <w:shd w:val="clear" w:color="auto" w:fill="auto"/>
            <w:vAlign w:val="center"/>
            <w:hideMark/>
          </w:tcPr>
          <w:p w:rsidR="0024313A" w:rsidRPr="0024313A" w:rsidRDefault="002540BE" w:rsidP="00735CAB">
            <w:pPr>
              <w:spacing w:line="240" w:lineRule="auto"/>
              <w:jc w:val="right"/>
              <w:rPr>
                <w:sz w:val="22"/>
                <w:szCs w:val="22"/>
                <w:lang w:val="en-IN" w:eastAsia="en-IN"/>
              </w:rPr>
            </w:pPr>
            <w:r>
              <w:rPr>
                <w:sz w:val="22"/>
                <w:szCs w:val="22"/>
                <w:lang w:val="en-IN" w:eastAsia="en-IN"/>
              </w:rPr>
              <w:t>394</w:t>
            </w:r>
          </w:p>
        </w:tc>
      </w:tr>
      <w:tr w:rsidR="0024313A" w:rsidRPr="0024313A" w:rsidTr="0024313A">
        <w:trPr>
          <w:trHeight w:val="300"/>
        </w:trPr>
        <w:tc>
          <w:tcPr>
            <w:tcW w:w="1736" w:type="pct"/>
            <w:tcBorders>
              <w:top w:val="nil"/>
              <w:left w:val="single" w:sz="4" w:space="0" w:color="auto"/>
              <w:bottom w:val="single" w:sz="4" w:space="0" w:color="auto"/>
              <w:right w:val="single" w:sz="4" w:space="0" w:color="auto"/>
            </w:tcBorders>
            <w:shd w:val="clear" w:color="auto" w:fill="auto"/>
            <w:hideMark/>
          </w:tcPr>
          <w:p w:rsidR="0024313A" w:rsidRPr="0024313A" w:rsidRDefault="0024313A" w:rsidP="0024313A">
            <w:pPr>
              <w:spacing w:line="240" w:lineRule="auto"/>
              <w:jc w:val="left"/>
              <w:rPr>
                <w:sz w:val="22"/>
                <w:szCs w:val="22"/>
                <w:lang w:val="en-IN" w:eastAsia="en-IN"/>
              </w:rPr>
            </w:pPr>
            <w:r w:rsidRPr="0024313A">
              <w:rPr>
                <w:sz w:val="22"/>
                <w:szCs w:val="22"/>
                <w:lang w:val="en-IN" w:eastAsia="en-IN"/>
              </w:rPr>
              <w:t>Sales- UI/ Export to Exchange</w:t>
            </w:r>
          </w:p>
        </w:tc>
        <w:tc>
          <w:tcPr>
            <w:tcW w:w="816" w:type="pct"/>
            <w:tcBorders>
              <w:top w:val="nil"/>
              <w:left w:val="nil"/>
              <w:bottom w:val="single" w:sz="4" w:space="0" w:color="auto"/>
              <w:right w:val="single" w:sz="4" w:space="0" w:color="auto"/>
            </w:tcBorders>
            <w:shd w:val="clear" w:color="auto" w:fill="auto"/>
            <w:vAlign w:val="center"/>
            <w:hideMark/>
          </w:tcPr>
          <w:p w:rsidR="0024313A" w:rsidRPr="0024313A" w:rsidRDefault="0024313A" w:rsidP="00735CAB">
            <w:pPr>
              <w:spacing w:line="240" w:lineRule="auto"/>
              <w:jc w:val="right"/>
              <w:rPr>
                <w:sz w:val="22"/>
                <w:szCs w:val="22"/>
                <w:lang w:val="en-IN" w:eastAsia="en-IN"/>
              </w:rPr>
            </w:pPr>
            <w:r w:rsidRPr="0024313A">
              <w:rPr>
                <w:sz w:val="22"/>
                <w:szCs w:val="22"/>
                <w:lang w:val="en-IN" w:eastAsia="en-IN"/>
              </w:rPr>
              <w:t>-</w:t>
            </w:r>
          </w:p>
        </w:tc>
        <w:tc>
          <w:tcPr>
            <w:tcW w:w="816" w:type="pct"/>
            <w:tcBorders>
              <w:top w:val="nil"/>
              <w:left w:val="nil"/>
              <w:bottom w:val="single" w:sz="4" w:space="0" w:color="auto"/>
              <w:right w:val="single" w:sz="4" w:space="0" w:color="auto"/>
            </w:tcBorders>
            <w:shd w:val="clear" w:color="auto" w:fill="auto"/>
            <w:vAlign w:val="center"/>
            <w:hideMark/>
          </w:tcPr>
          <w:p w:rsidR="0024313A" w:rsidRPr="0024313A" w:rsidRDefault="0024313A" w:rsidP="00735CAB">
            <w:pPr>
              <w:spacing w:line="240" w:lineRule="auto"/>
              <w:jc w:val="right"/>
              <w:rPr>
                <w:sz w:val="22"/>
                <w:szCs w:val="22"/>
                <w:lang w:val="en-IN" w:eastAsia="en-IN"/>
              </w:rPr>
            </w:pPr>
            <w:r w:rsidRPr="0024313A">
              <w:rPr>
                <w:sz w:val="22"/>
                <w:szCs w:val="22"/>
                <w:lang w:val="en-IN" w:eastAsia="en-IN"/>
              </w:rPr>
              <w:t>-</w:t>
            </w:r>
          </w:p>
        </w:tc>
        <w:tc>
          <w:tcPr>
            <w:tcW w:w="816" w:type="pct"/>
            <w:tcBorders>
              <w:top w:val="nil"/>
              <w:left w:val="nil"/>
              <w:bottom w:val="single" w:sz="4" w:space="0" w:color="auto"/>
              <w:right w:val="single" w:sz="4" w:space="0" w:color="auto"/>
            </w:tcBorders>
            <w:shd w:val="clear" w:color="auto" w:fill="auto"/>
            <w:vAlign w:val="center"/>
            <w:hideMark/>
          </w:tcPr>
          <w:p w:rsidR="0024313A" w:rsidRPr="0024313A" w:rsidRDefault="0024313A" w:rsidP="00735CAB">
            <w:pPr>
              <w:spacing w:line="240" w:lineRule="auto"/>
              <w:jc w:val="right"/>
              <w:rPr>
                <w:sz w:val="22"/>
                <w:szCs w:val="22"/>
                <w:lang w:val="en-IN" w:eastAsia="en-IN"/>
              </w:rPr>
            </w:pPr>
            <w:r w:rsidRPr="0024313A">
              <w:rPr>
                <w:sz w:val="22"/>
                <w:szCs w:val="22"/>
                <w:lang w:val="en-IN" w:eastAsia="en-IN"/>
              </w:rPr>
              <w:t>-</w:t>
            </w:r>
          </w:p>
        </w:tc>
        <w:tc>
          <w:tcPr>
            <w:tcW w:w="816" w:type="pct"/>
            <w:tcBorders>
              <w:top w:val="nil"/>
              <w:left w:val="nil"/>
              <w:bottom w:val="single" w:sz="4" w:space="0" w:color="auto"/>
              <w:right w:val="single" w:sz="4" w:space="0" w:color="auto"/>
            </w:tcBorders>
            <w:shd w:val="clear" w:color="auto" w:fill="auto"/>
            <w:vAlign w:val="center"/>
            <w:hideMark/>
          </w:tcPr>
          <w:p w:rsidR="0024313A" w:rsidRPr="0024313A" w:rsidRDefault="0024313A" w:rsidP="00735CAB">
            <w:pPr>
              <w:spacing w:line="240" w:lineRule="auto"/>
              <w:jc w:val="right"/>
              <w:rPr>
                <w:sz w:val="22"/>
                <w:szCs w:val="22"/>
                <w:lang w:val="en-IN" w:eastAsia="en-IN"/>
              </w:rPr>
            </w:pPr>
            <w:r w:rsidRPr="0024313A">
              <w:rPr>
                <w:sz w:val="22"/>
                <w:szCs w:val="22"/>
                <w:lang w:val="en-IN" w:eastAsia="en-IN"/>
              </w:rPr>
              <w:t>-</w:t>
            </w:r>
          </w:p>
        </w:tc>
      </w:tr>
      <w:tr w:rsidR="0024313A" w:rsidRPr="0024313A" w:rsidTr="0024313A">
        <w:trPr>
          <w:trHeight w:val="600"/>
        </w:trPr>
        <w:tc>
          <w:tcPr>
            <w:tcW w:w="1736" w:type="pct"/>
            <w:tcBorders>
              <w:top w:val="nil"/>
              <w:left w:val="single" w:sz="4" w:space="0" w:color="auto"/>
              <w:bottom w:val="single" w:sz="4" w:space="0" w:color="auto"/>
              <w:right w:val="single" w:sz="4" w:space="0" w:color="auto"/>
            </w:tcBorders>
            <w:shd w:val="clear" w:color="auto" w:fill="auto"/>
            <w:hideMark/>
          </w:tcPr>
          <w:p w:rsidR="0024313A" w:rsidRPr="0024313A" w:rsidRDefault="0024313A" w:rsidP="0024313A">
            <w:pPr>
              <w:spacing w:line="240" w:lineRule="auto"/>
              <w:jc w:val="left"/>
              <w:rPr>
                <w:b/>
                <w:bCs/>
                <w:sz w:val="22"/>
                <w:szCs w:val="22"/>
                <w:lang w:val="en-IN" w:eastAsia="en-IN"/>
              </w:rPr>
            </w:pPr>
            <w:r w:rsidRPr="0024313A">
              <w:rPr>
                <w:b/>
                <w:bCs/>
                <w:sz w:val="22"/>
                <w:szCs w:val="22"/>
                <w:lang w:val="en-IN" w:eastAsia="en-IN"/>
              </w:rPr>
              <w:t>Total Energy Requirement at UT Periphery (MU)</w:t>
            </w:r>
          </w:p>
        </w:tc>
        <w:tc>
          <w:tcPr>
            <w:tcW w:w="816" w:type="pct"/>
            <w:tcBorders>
              <w:top w:val="nil"/>
              <w:left w:val="nil"/>
              <w:bottom w:val="single" w:sz="4" w:space="0" w:color="auto"/>
              <w:right w:val="single" w:sz="4" w:space="0" w:color="auto"/>
            </w:tcBorders>
            <w:shd w:val="clear" w:color="auto" w:fill="auto"/>
            <w:vAlign w:val="center"/>
            <w:hideMark/>
          </w:tcPr>
          <w:p w:rsidR="0024313A" w:rsidRPr="0024313A" w:rsidRDefault="002540BE" w:rsidP="00735CAB">
            <w:pPr>
              <w:spacing w:line="240" w:lineRule="auto"/>
              <w:jc w:val="right"/>
              <w:rPr>
                <w:b/>
                <w:bCs/>
                <w:sz w:val="22"/>
                <w:szCs w:val="22"/>
                <w:lang w:val="en-IN" w:eastAsia="en-IN"/>
              </w:rPr>
            </w:pPr>
            <w:r>
              <w:rPr>
                <w:b/>
                <w:bCs/>
                <w:sz w:val="22"/>
                <w:szCs w:val="22"/>
                <w:lang w:val="en-IN" w:eastAsia="en-IN"/>
              </w:rPr>
              <w:t>3,039</w:t>
            </w:r>
          </w:p>
        </w:tc>
        <w:tc>
          <w:tcPr>
            <w:tcW w:w="816" w:type="pct"/>
            <w:tcBorders>
              <w:top w:val="nil"/>
              <w:left w:val="nil"/>
              <w:bottom w:val="single" w:sz="4" w:space="0" w:color="auto"/>
              <w:right w:val="single" w:sz="4" w:space="0" w:color="auto"/>
            </w:tcBorders>
            <w:shd w:val="clear" w:color="auto" w:fill="auto"/>
            <w:vAlign w:val="center"/>
            <w:hideMark/>
          </w:tcPr>
          <w:p w:rsidR="0024313A" w:rsidRPr="0024313A" w:rsidRDefault="002540BE" w:rsidP="00735CAB">
            <w:pPr>
              <w:spacing w:line="240" w:lineRule="auto"/>
              <w:jc w:val="right"/>
              <w:rPr>
                <w:b/>
                <w:bCs/>
                <w:sz w:val="22"/>
                <w:szCs w:val="22"/>
                <w:lang w:val="en-IN" w:eastAsia="en-IN"/>
              </w:rPr>
            </w:pPr>
            <w:r>
              <w:rPr>
                <w:b/>
                <w:bCs/>
                <w:sz w:val="22"/>
                <w:szCs w:val="22"/>
                <w:lang w:val="en-IN" w:eastAsia="en-IN"/>
              </w:rPr>
              <w:t>3,124</w:t>
            </w:r>
          </w:p>
        </w:tc>
        <w:tc>
          <w:tcPr>
            <w:tcW w:w="816" w:type="pct"/>
            <w:tcBorders>
              <w:top w:val="nil"/>
              <w:left w:val="nil"/>
              <w:bottom w:val="single" w:sz="4" w:space="0" w:color="auto"/>
              <w:right w:val="single" w:sz="4" w:space="0" w:color="auto"/>
            </w:tcBorders>
            <w:shd w:val="clear" w:color="auto" w:fill="auto"/>
            <w:vAlign w:val="center"/>
            <w:hideMark/>
          </w:tcPr>
          <w:p w:rsidR="0024313A" w:rsidRPr="0024313A" w:rsidRDefault="002540BE" w:rsidP="00735CAB">
            <w:pPr>
              <w:spacing w:line="240" w:lineRule="auto"/>
              <w:jc w:val="right"/>
              <w:rPr>
                <w:b/>
                <w:bCs/>
                <w:sz w:val="22"/>
                <w:szCs w:val="22"/>
                <w:lang w:val="en-IN" w:eastAsia="en-IN"/>
              </w:rPr>
            </w:pPr>
            <w:r>
              <w:rPr>
                <w:b/>
                <w:bCs/>
                <w:sz w:val="22"/>
                <w:szCs w:val="22"/>
                <w:lang w:val="en-IN" w:eastAsia="en-IN"/>
              </w:rPr>
              <w:t>3,230</w:t>
            </w:r>
          </w:p>
        </w:tc>
        <w:tc>
          <w:tcPr>
            <w:tcW w:w="816" w:type="pct"/>
            <w:tcBorders>
              <w:top w:val="nil"/>
              <w:left w:val="nil"/>
              <w:bottom w:val="single" w:sz="4" w:space="0" w:color="auto"/>
              <w:right w:val="single" w:sz="4" w:space="0" w:color="auto"/>
            </w:tcBorders>
            <w:shd w:val="clear" w:color="auto" w:fill="auto"/>
            <w:vAlign w:val="center"/>
            <w:hideMark/>
          </w:tcPr>
          <w:p w:rsidR="0024313A" w:rsidRPr="0024313A" w:rsidRDefault="002540BE" w:rsidP="00735CAB">
            <w:pPr>
              <w:spacing w:line="240" w:lineRule="auto"/>
              <w:jc w:val="right"/>
              <w:rPr>
                <w:b/>
                <w:bCs/>
                <w:sz w:val="22"/>
                <w:szCs w:val="22"/>
                <w:lang w:val="en-IN" w:eastAsia="en-IN"/>
              </w:rPr>
            </w:pPr>
            <w:r>
              <w:rPr>
                <w:b/>
                <w:bCs/>
                <w:sz w:val="22"/>
                <w:szCs w:val="22"/>
                <w:lang w:val="en-IN" w:eastAsia="en-IN"/>
              </w:rPr>
              <w:t>3,354</w:t>
            </w:r>
          </w:p>
        </w:tc>
      </w:tr>
    </w:tbl>
    <w:p w:rsidR="00DB1B8F" w:rsidRDefault="00DB1B8F" w:rsidP="00DB1B8F">
      <w:pPr>
        <w:pStyle w:val="EDNormal"/>
        <w:jc w:val="center"/>
      </w:pPr>
    </w:p>
    <w:p w:rsidR="00337C5E" w:rsidRDefault="003F0B34">
      <w:pPr>
        <w:pStyle w:val="ED-H2"/>
        <w:rPr>
          <w:b w:val="0"/>
          <w:lang w:val="en-GB"/>
        </w:rPr>
      </w:pPr>
      <w:bookmarkStart w:id="115" w:name="_Toc331522255"/>
      <w:bookmarkStart w:id="116" w:name="_Toc523724489"/>
      <w:r w:rsidRPr="000808B7">
        <w:rPr>
          <w:lang w:val="en-GB"/>
        </w:rPr>
        <w:t xml:space="preserve">Power </w:t>
      </w:r>
      <w:r w:rsidR="00105F99" w:rsidRPr="00105F99">
        <w:t>Purchase</w:t>
      </w:r>
      <w:r w:rsidRPr="000808B7">
        <w:rPr>
          <w:lang w:val="en-GB"/>
        </w:rPr>
        <w:t xml:space="preserve"> Plan</w:t>
      </w:r>
      <w:bookmarkEnd w:id="115"/>
      <w:bookmarkEnd w:id="116"/>
    </w:p>
    <w:p w:rsidR="00337C5E" w:rsidRDefault="003F0B34">
      <w:pPr>
        <w:pStyle w:val="ED-H3"/>
      </w:pPr>
      <w:r w:rsidRPr="006774F1">
        <w:t>In this section, the petitioner has presented the total power purchase cost arising out of the power procurement plan being proposed for the control period. The power requirement for the control period would be met from the following sources:</w:t>
      </w:r>
    </w:p>
    <w:p w:rsidR="00337C5E" w:rsidRDefault="003F0B34" w:rsidP="003E0E1E">
      <w:pPr>
        <w:pStyle w:val="Heading3"/>
        <w:numPr>
          <w:ilvl w:val="0"/>
          <w:numId w:val="5"/>
        </w:numPr>
      </w:pPr>
      <w:r w:rsidRPr="006774F1">
        <w:t>Central Generating Stations</w:t>
      </w:r>
    </w:p>
    <w:p w:rsidR="00337C5E" w:rsidRDefault="003F0B34" w:rsidP="003E0E1E">
      <w:pPr>
        <w:pStyle w:val="Heading3"/>
        <w:numPr>
          <w:ilvl w:val="0"/>
          <w:numId w:val="5"/>
        </w:numPr>
      </w:pPr>
      <w:r w:rsidRPr="006774F1">
        <w:t>PPCL</w:t>
      </w:r>
    </w:p>
    <w:p w:rsidR="003F0B34" w:rsidRDefault="003F0B34" w:rsidP="00353E51">
      <w:pPr>
        <w:pStyle w:val="EDNormal"/>
        <w:rPr>
          <w:rFonts w:cs="Calibri"/>
          <w:lang w:val="en-US" w:bidi="ta-IN"/>
        </w:rPr>
      </w:pPr>
    </w:p>
    <w:p w:rsidR="00337C5E" w:rsidRDefault="003F0B34">
      <w:pPr>
        <w:pStyle w:val="ED-H3"/>
      </w:pPr>
      <w:r w:rsidRPr="006774F1">
        <w:t>Following assumptions have been considered for projecting the quantum and cost of power purchase:</w:t>
      </w:r>
    </w:p>
    <w:p w:rsidR="00624C9B" w:rsidRPr="00624C9B" w:rsidRDefault="00624C9B" w:rsidP="00624C9B">
      <w:pPr>
        <w:pStyle w:val="EDNormal"/>
        <w:rPr>
          <w:lang w:val="en-IN" w:bidi="hi-IN"/>
        </w:rPr>
      </w:pPr>
    </w:p>
    <w:p w:rsidR="00BB6950" w:rsidRDefault="00E16426">
      <w:pPr>
        <w:pStyle w:val="ED-H4"/>
      </w:pPr>
      <w:r w:rsidRPr="00BB6950">
        <w:rPr>
          <w:b/>
          <w:i/>
        </w:rPr>
        <w:t>Power P</w:t>
      </w:r>
      <w:r w:rsidR="00F11496" w:rsidRPr="00BB6950">
        <w:rPr>
          <w:b/>
          <w:i/>
        </w:rPr>
        <w:t>urchase from New Stations</w:t>
      </w:r>
      <w:r>
        <w:t>: The petitioner envisages supply from a new generating station NLC New TS-1, expe</w:t>
      </w:r>
      <w:r w:rsidR="00F11496">
        <w:t xml:space="preserve">cted to achieve COD in FY 19-20. The </w:t>
      </w:r>
      <w:r w:rsidR="00BB6950">
        <w:t>petitioner has proposed the total share of 57.24 MW (allocated + unallocated) and has envisaged supply to start in FY 19-20 and then for the complete Control period. Since, the generator has not filed the tariff order, PED has considered the cost of Rs.3.50/unit (fixed+variable) for the control period.</w:t>
      </w:r>
    </w:p>
    <w:p w:rsidR="00E16426" w:rsidRDefault="00BB6950" w:rsidP="00BB6950">
      <w:pPr>
        <w:pStyle w:val="ED-H4"/>
        <w:numPr>
          <w:ilvl w:val="0"/>
          <w:numId w:val="0"/>
        </w:numPr>
        <w:ind w:left="1080"/>
      </w:pPr>
      <w:r w:rsidRPr="00BB6950">
        <w:t xml:space="preserve">Further, the petitioner </w:t>
      </w:r>
      <w:r w:rsidR="00E16426" w:rsidRPr="00BB6950">
        <w:t xml:space="preserve">has </w:t>
      </w:r>
      <w:r w:rsidRPr="00BB6950">
        <w:t xml:space="preserve">also </w:t>
      </w:r>
      <w:r w:rsidR="00E16426" w:rsidRPr="00BB6950">
        <w:t>conside</w:t>
      </w:r>
      <w:r w:rsidR="007854F0">
        <w:t>red the power purchase of 150 MU</w:t>
      </w:r>
      <w:r w:rsidR="00E16426" w:rsidRPr="00BB6950">
        <w:t xml:space="preserve">s from </w:t>
      </w:r>
      <w:r w:rsidR="00F14FCB">
        <w:t>T</w:t>
      </w:r>
      <w:r w:rsidR="00E16426" w:rsidRPr="00BB6950">
        <w:t>NEB Karaikal for the base year FY 2018-19 only.</w:t>
      </w:r>
    </w:p>
    <w:p w:rsidR="00BB6950" w:rsidRPr="00BB6950" w:rsidRDefault="00BB6950" w:rsidP="00BB6950">
      <w:pPr>
        <w:pStyle w:val="EDNormal"/>
        <w:rPr>
          <w:lang w:val="en-IN"/>
        </w:rPr>
      </w:pPr>
    </w:p>
    <w:p w:rsidR="00337C5E" w:rsidRDefault="003F0B34">
      <w:pPr>
        <w:pStyle w:val="ED-H4"/>
      </w:pPr>
      <w:r w:rsidRPr="0049104C">
        <w:rPr>
          <w:b/>
          <w:i/>
        </w:rPr>
        <w:lastRenderedPageBreak/>
        <w:t>Share Allocation:</w:t>
      </w:r>
      <w:r w:rsidR="00EE1171" w:rsidRPr="000E77AB">
        <w:t>The petitioner</w:t>
      </w:r>
      <w:r w:rsidRPr="000E77AB">
        <w:t xml:space="preserve"> has considered the firm allocation and allocation from the unallocated quota from the above stations as per the notification of the Southern Region Power Committee vide SRPC Order No:</w:t>
      </w:r>
      <w:r w:rsidR="002548B6">
        <w:rPr>
          <w:rFonts w:ascii="DejaVuSerifCondensed" w:hAnsi="DejaVuSerifCondensed" w:cs="DejaVuSerifCondensed"/>
          <w:sz w:val="22"/>
        </w:rPr>
        <w:t>No. SRPC/SE-1/4(REA)/2018/</w:t>
      </w:r>
      <w:r w:rsidRPr="000E77AB">
        <w:t xml:space="preserve">dated </w:t>
      </w:r>
      <w:r w:rsidR="002548B6">
        <w:t>24.08.2018.</w:t>
      </w:r>
      <w:r w:rsidR="00AF18B3">
        <w:t xml:space="preserve"> Refer</w:t>
      </w:r>
      <w:r w:rsidR="00140E1B">
        <w:fldChar w:fldCharType="begin"/>
      </w:r>
      <w:r w:rsidR="004D5C0E">
        <w:instrText xml:space="preserve"> REF _Ref399526575 \h </w:instrText>
      </w:r>
      <w:r w:rsidR="00140E1B">
        <w:fldChar w:fldCharType="separate"/>
      </w:r>
      <w:r w:rsidR="004B7EE5" w:rsidRPr="00165DAF">
        <w:t>Annexure</w:t>
      </w:r>
      <w:r w:rsidR="00140E1B">
        <w:fldChar w:fldCharType="end"/>
      </w:r>
      <w:r w:rsidR="000C4408">
        <w:t xml:space="preserve"> has been considered for calculation of revised projections of base year FY 2018-19. The same has been considered for the entire control period without any variations.</w:t>
      </w:r>
    </w:p>
    <w:p w:rsidR="003F0B34" w:rsidRDefault="003F0B34" w:rsidP="00353E51">
      <w:pPr>
        <w:pStyle w:val="EDNormal"/>
        <w:rPr>
          <w:bCs/>
        </w:rPr>
      </w:pPr>
    </w:p>
    <w:p w:rsidR="00CB355D" w:rsidRPr="00CB355D" w:rsidRDefault="00CB355D" w:rsidP="00CB355D">
      <w:pPr>
        <w:pStyle w:val="ED-H4"/>
        <w:rPr>
          <w:b/>
          <w:i/>
        </w:rPr>
      </w:pPr>
      <w:r>
        <w:rPr>
          <w:b/>
          <w:i/>
        </w:rPr>
        <w:t xml:space="preserve">Plant Load Factor for </w:t>
      </w:r>
      <w:r w:rsidRPr="00CB355D">
        <w:rPr>
          <w:b/>
          <w:i/>
        </w:rPr>
        <w:t>Stations</w:t>
      </w:r>
      <w:r>
        <w:rPr>
          <w:b/>
          <w:i/>
        </w:rPr>
        <w:t>:</w:t>
      </w:r>
    </w:p>
    <w:p w:rsidR="00563A39" w:rsidRDefault="00563A39" w:rsidP="00CB355D">
      <w:pPr>
        <w:pStyle w:val="ED-H4"/>
        <w:numPr>
          <w:ilvl w:val="0"/>
          <w:numId w:val="0"/>
        </w:numPr>
        <w:ind w:left="1080"/>
      </w:pPr>
      <w:r>
        <w:t xml:space="preserve">Since the present scenario for the conventional power stations is very volatile and competitive, hence, the past data cannot be relied upon for the correct picture. Accordingly, the petitioner has consider the present PLF for FY 2018-19 as per </w:t>
      </w:r>
      <w:r w:rsidRPr="000E77AB">
        <w:t>the notification of the Southern Region Power Committee vide SRPC Order No:</w:t>
      </w:r>
      <w:r>
        <w:rPr>
          <w:rFonts w:ascii="DejaVuSerifCondensed" w:hAnsi="DejaVuSerifCondensed" w:cs="DejaVuSerifCondensed"/>
          <w:sz w:val="22"/>
        </w:rPr>
        <w:t>No. SRPC/SE-1/4(REA)/2018/</w:t>
      </w:r>
      <w:r w:rsidRPr="000E77AB">
        <w:t xml:space="preserve"> dated </w:t>
      </w:r>
      <w:r>
        <w:t xml:space="preserve">24.08.2018. Refer </w:t>
      </w:r>
      <w:r w:rsidR="00140E1B">
        <w:fldChar w:fldCharType="begin"/>
      </w:r>
      <w:r>
        <w:instrText xml:space="preserve"> REF _Ref399526575 \h </w:instrText>
      </w:r>
      <w:r w:rsidR="00140E1B">
        <w:fldChar w:fldCharType="separate"/>
      </w:r>
      <w:r w:rsidR="004B7EE5" w:rsidRPr="00165DAF">
        <w:t>Annexure</w:t>
      </w:r>
      <w:r w:rsidR="00140E1B">
        <w:fldChar w:fldCharType="end"/>
      </w:r>
      <w:r>
        <w:t xml:space="preserve">. </w:t>
      </w:r>
      <w:r w:rsidR="00CB355D">
        <w:t xml:space="preserve">The </w:t>
      </w:r>
      <w:r>
        <w:t xml:space="preserve">same PLF has been considered for the entire control period. </w:t>
      </w:r>
    </w:p>
    <w:p w:rsidR="00A91362" w:rsidRDefault="00A91362" w:rsidP="00CB355D">
      <w:pPr>
        <w:pStyle w:val="ED-H4"/>
        <w:numPr>
          <w:ilvl w:val="0"/>
          <w:numId w:val="0"/>
        </w:numPr>
        <w:ind w:left="1080"/>
      </w:pPr>
    </w:p>
    <w:p w:rsidR="00CB355D" w:rsidRDefault="00563A39" w:rsidP="00CB355D">
      <w:pPr>
        <w:pStyle w:val="ED-H4"/>
        <w:numPr>
          <w:ilvl w:val="0"/>
          <w:numId w:val="0"/>
        </w:numPr>
        <w:ind w:left="1080"/>
      </w:pPr>
      <w:r>
        <w:t>For PPCL, the PLF as approved in the Tariff Order for FY 2018-19 has been considered for the entire control period.</w:t>
      </w:r>
    </w:p>
    <w:p w:rsidR="00563A39" w:rsidRPr="00563A39" w:rsidRDefault="00563A39" w:rsidP="00563A39">
      <w:pPr>
        <w:pStyle w:val="EDNormal"/>
        <w:rPr>
          <w:lang w:val="en-IN"/>
        </w:rPr>
      </w:pPr>
    </w:p>
    <w:p w:rsidR="002548B6" w:rsidRDefault="003F0B34" w:rsidP="00902E4D">
      <w:pPr>
        <w:pStyle w:val="ED-H4"/>
      </w:pPr>
      <w:r w:rsidRPr="004532AF">
        <w:rPr>
          <w:b/>
          <w:i/>
        </w:rPr>
        <w:t>Fixed Charges:</w:t>
      </w:r>
    </w:p>
    <w:p w:rsidR="00D123C0" w:rsidRPr="00902E4D" w:rsidRDefault="003F0B34" w:rsidP="002548B6">
      <w:pPr>
        <w:pStyle w:val="ED-H4"/>
        <w:numPr>
          <w:ilvl w:val="0"/>
          <w:numId w:val="0"/>
        </w:numPr>
        <w:ind w:left="1080"/>
      </w:pPr>
      <w:r w:rsidRPr="000E77AB">
        <w:t xml:space="preserve">The </w:t>
      </w:r>
      <w:r w:rsidR="002163B6">
        <w:t xml:space="preserve">draft </w:t>
      </w:r>
      <w:r w:rsidRPr="000E77AB">
        <w:t xml:space="preserve">Tariff Regulations for the tariff period </w:t>
      </w:r>
      <w:r w:rsidR="0049104C">
        <w:t xml:space="preserve">FY </w:t>
      </w:r>
      <w:r w:rsidR="002163B6">
        <w:t>2019</w:t>
      </w:r>
      <w:r w:rsidR="007854F0">
        <w:t>-2</w:t>
      </w:r>
      <w:r w:rsidR="007C4F3D">
        <w:t>2</w:t>
      </w:r>
      <w:r w:rsidRPr="000E77AB">
        <w:t xml:space="preserve"> have recently been </w:t>
      </w:r>
      <w:r w:rsidR="00EE1171" w:rsidRPr="000E77AB">
        <w:t>notified by CERC</w:t>
      </w:r>
      <w:r w:rsidR="002163B6">
        <w:t xml:space="preserve"> and comments invited</w:t>
      </w:r>
      <w:r w:rsidR="00EE1171" w:rsidRPr="000E77AB">
        <w:t xml:space="preserve">. </w:t>
      </w:r>
      <w:r w:rsidR="0049104C">
        <w:t xml:space="preserve">However, </w:t>
      </w:r>
      <w:r w:rsidRPr="000E77AB">
        <w:t xml:space="preserve">CERC </w:t>
      </w:r>
      <w:r w:rsidR="007C4F3D">
        <w:t xml:space="preserve">regulations and tariff orders </w:t>
      </w:r>
      <w:r w:rsidR="001E0DFD">
        <w:t xml:space="preserve">the </w:t>
      </w:r>
      <w:r w:rsidR="007C4F3D">
        <w:t>period FY 2020-24</w:t>
      </w:r>
      <w:r w:rsidRPr="000E77AB">
        <w:t xml:space="preserve"> for the central generating stations </w:t>
      </w:r>
      <w:r w:rsidR="007C4F3D">
        <w:t>is not present.</w:t>
      </w:r>
      <w:r w:rsidRPr="000E77AB">
        <w:t xml:space="preserve"> In absence of </w:t>
      </w:r>
      <w:r w:rsidR="007854F0">
        <w:t>the tariff orders for FY 2019</w:t>
      </w:r>
      <w:r w:rsidR="007C4F3D">
        <w:t>-24</w:t>
      </w:r>
      <w:r w:rsidRPr="000E77AB">
        <w:t xml:space="preserve"> of the central gen</w:t>
      </w:r>
      <w:r w:rsidR="0075357A" w:rsidRPr="000E77AB">
        <w:t>erating statio</w:t>
      </w:r>
      <w:r w:rsidR="007854F0">
        <w:t>n, t</w:t>
      </w:r>
      <w:r w:rsidR="002548B6" w:rsidRPr="002548B6">
        <w:t xml:space="preserve">he Fixed costs </w:t>
      </w:r>
      <w:r w:rsidR="007C4F3D">
        <w:t>of FY 2018-19</w:t>
      </w:r>
      <w:r w:rsidR="000C4408">
        <w:t>, as approved by the Commission in tariff order for FY 2018-19</w:t>
      </w:r>
      <w:r w:rsidR="007C4F3D">
        <w:t xml:space="preserve"> has been considered</w:t>
      </w:r>
      <w:r w:rsidR="000C4408">
        <w:t xml:space="preserve"> for calculation of revised projections of base year FY 2018-19</w:t>
      </w:r>
      <w:r w:rsidR="002548B6" w:rsidRPr="002548B6">
        <w:t xml:space="preserve"> for respective Central Generating Stations,</w:t>
      </w:r>
      <w:r w:rsidR="000C4408">
        <w:t>and projections has been done</w:t>
      </w:r>
      <w:r w:rsidR="00F4281A">
        <w:t xml:space="preserve">with an escalation of 4% </w:t>
      </w:r>
      <w:r w:rsidRPr="000E77AB">
        <w:t xml:space="preserve">for purpose of estimation of </w:t>
      </w:r>
      <w:r w:rsidR="0075357A" w:rsidRPr="000E77AB">
        <w:t>the fixed charges for the control period</w:t>
      </w:r>
      <w:r w:rsidR="00F4281A">
        <w:t>.</w:t>
      </w:r>
    </w:p>
    <w:p w:rsidR="00902E4D" w:rsidRDefault="00902E4D" w:rsidP="00902E4D">
      <w:pPr>
        <w:pStyle w:val="ED-H4"/>
        <w:numPr>
          <w:ilvl w:val="0"/>
          <w:numId w:val="0"/>
        </w:numPr>
        <w:ind w:left="1080"/>
      </w:pPr>
    </w:p>
    <w:p w:rsidR="00902E4D" w:rsidRDefault="00D123C0" w:rsidP="00902E4D">
      <w:pPr>
        <w:pStyle w:val="ED-H4"/>
        <w:numPr>
          <w:ilvl w:val="0"/>
          <w:numId w:val="0"/>
        </w:numPr>
        <w:ind w:left="1080"/>
      </w:pPr>
      <w:r>
        <w:t>For PPCL, the fi</w:t>
      </w:r>
      <w:r w:rsidR="007C4F3D">
        <w:t>xed charges approved for FY 2018-19</w:t>
      </w:r>
      <w:r>
        <w:t xml:space="preserve"> in tariff order has been considered and escalated by 4% during the Control Period. </w:t>
      </w:r>
    </w:p>
    <w:p w:rsidR="00902E4D" w:rsidRDefault="00902E4D" w:rsidP="00902E4D">
      <w:pPr>
        <w:pStyle w:val="ED-H4"/>
        <w:numPr>
          <w:ilvl w:val="0"/>
          <w:numId w:val="0"/>
        </w:numPr>
        <w:ind w:left="1080"/>
      </w:pPr>
    </w:p>
    <w:p w:rsidR="00624C9B" w:rsidRDefault="003F0B34">
      <w:pPr>
        <w:pStyle w:val="ED-H4"/>
      </w:pPr>
      <w:r w:rsidRPr="004532AF">
        <w:rPr>
          <w:b/>
          <w:i/>
        </w:rPr>
        <w:t>Variable Charges:</w:t>
      </w:r>
      <w:r w:rsidR="00233F79" w:rsidRPr="000E77AB">
        <w:t xml:space="preserve"> The petitioner</w:t>
      </w:r>
      <w:r w:rsidRPr="000E77AB">
        <w:t xml:space="preserve"> has considere</w:t>
      </w:r>
      <w:r w:rsidR="0049104C">
        <w:t xml:space="preserve">d the </w:t>
      </w:r>
      <w:r w:rsidR="00624C9B">
        <w:t>per unit variable</w:t>
      </w:r>
      <w:r w:rsidR="00624C9B" w:rsidRPr="002548B6">
        <w:t xml:space="preserve"> costs </w:t>
      </w:r>
      <w:r w:rsidR="00624C9B">
        <w:t xml:space="preserve">of FY 2018-19, as approved by the Commission in tariff order for FY 2018-19 and has calculated the revised projections of base year FY 2018-19w.r.t to power purchase projections </w:t>
      </w:r>
      <w:r w:rsidR="00624C9B" w:rsidRPr="002548B6">
        <w:t>for respective Central Generating Stations</w:t>
      </w:r>
      <w:r w:rsidR="00624C9B">
        <w:t xml:space="preserve">. Further, y-o-y escalationsof </w:t>
      </w:r>
      <w:r w:rsidR="00A60C5B">
        <w:t>4</w:t>
      </w:r>
      <w:r w:rsidR="00B40E39" w:rsidRPr="000E77AB">
        <w:t xml:space="preserve">% </w:t>
      </w:r>
      <w:r w:rsidR="00624C9B">
        <w:t xml:space="preserve">has been considered </w:t>
      </w:r>
      <w:r w:rsidR="00B40E39" w:rsidRPr="000E77AB">
        <w:t>during the</w:t>
      </w:r>
      <w:r w:rsidR="00233F79" w:rsidRPr="000E77AB">
        <w:t xml:space="preserve"> control period</w:t>
      </w:r>
      <w:r w:rsidRPr="000E77AB">
        <w:t xml:space="preserve">. </w:t>
      </w:r>
      <w:r w:rsidR="00624C9B">
        <w:t>For PPCL, the same approach has been taken.</w:t>
      </w:r>
    </w:p>
    <w:p w:rsidR="00624C9B" w:rsidRDefault="00624C9B">
      <w:pPr>
        <w:pStyle w:val="EDNormal"/>
        <w:ind w:left="1080"/>
      </w:pPr>
    </w:p>
    <w:p w:rsidR="00337C5E" w:rsidRDefault="00B40E39">
      <w:pPr>
        <w:pStyle w:val="EDNormal"/>
        <w:ind w:left="1080"/>
      </w:pPr>
      <w:r w:rsidRPr="000E77AB">
        <w:lastRenderedPageBreak/>
        <w:t>For TNEB</w:t>
      </w:r>
      <w:r w:rsidR="00624C9B">
        <w:t xml:space="preserve"> karaikal</w:t>
      </w:r>
      <w:r w:rsidRPr="000E77AB">
        <w:t xml:space="preserve">, the </w:t>
      </w:r>
      <w:r w:rsidR="00624C9B">
        <w:t xml:space="preserve">petitioner has considered the actual per unit variable cost of FY </w:t>
      </w:r>
      <w:r w:rsidR="007854F0">
        <w:t>2016-17 for base year FY 2018-19</w:t>
      </w:r>
      <w:r w:rsidR="00624C9B">
        <w:t xml:space="preserve"> and </w:t>
      </w:r>
      <w:r w:rsidR="00A60C5B">
        <w:t>the same has been escalated by 4</w:t>
      </w:r>
      <w:r w:rsidRPr="000E77AB">
        <w:t xml:space="preserve">% </w:t>
      </w:r>
      <w:r w:rsidR="00010CB6">
        <w:t>y-o-y</w:t>
      </w:r>
      <w:r w:rsidR="00624C9B">
        <w:t xml:space="preserve"> for the entire control period. </w:t>
      </w:r>
    </w:p>
    <w:p w:rsidR="00E95EB4" w:rsidRDefault="00E95EB4">
      <w:pPr>
        <w:pStyle w:val="EDNormal"/>
        <w:ind w:left="1080"/>
      </w:pPr>
    </w:p>
    <w:p w:rsidR="00337C5E" w:rsidRDefault="00105F99">
      <w:pPr>
        <w:pStyle w:val="ED-H4"/>
      </w:pPr>
      <w:r w:rsidRPr="00105F99">
        <w:rPr>
          <w:b/>
          <w:i/>
        </w:rPr>
        <w:t>Principles of MoD</w:t>
      </w:r>
      <w:r w:rsidR="00C118CF">
        <w:t xml:space="preserve">: </w:t>
      </w:r>
      <w:r w:rsidR="00B40E39" w:rsidRPr="000E77AB">
        <w:t>The Petitioner</w:t>
      </w:r>
      <w:r w:rsidR="00CD57E8" w:rsidRPr="000E77AB">
        <w:t xml:space="preserve"> has considered the nuclear plants as must run and has not subjected them to merit order dispatch. </w:t>
      </w:r>
      <w:r w:rsidR="00A951B8">
        <w:t xml:space="preserve">Also, </w:t>
      </w:r>
      <w:r w:rsidR="00E16426">
        <w:t xml:space="preserve">TNEB (Karaikal) </w:t>
      </w:r>
      <w:r w:rsidR="00CD57E8" w:rsidRPr="000E77AB">
        <w:t>and PPCL have been considered as must run and not subject to merit order principles.</w:t>
      </w:r>
    </w:p>
    <w:p w:rsidR="00434372" w:rsidRPr="000E77AB" w:rsidRDefault="00434372" w:rsidP="00353E51">
      <w:pPr>
        <w:pStyle w:val="EDNormal"/>
        <w:rPr>
          <w:bCs/>
        </w:rPr>
      </w:pPr>
    </w:p>
    <w:p w:rsidR="00337C5E" w:rsidRDefault="00434372">
      <w:pPr>
        <w:pStyle w:val="EDNormal"/>
        <w:ind w:left="1080"/>
      </w:pPr>
      <w:r w:rsidRPr="000E77AB">
        <w:t>For determining the power purchase cost, merit order dispatch principles have been applied. The must-run stations have been assumed at the top of the merit order and variable cost incurred for meeting the ener</w:t>
      </w:r>
      <w:r w:rsidR="00010CB6">
        <w:t>gy requirement within the UT</w:t>
      </w:r>
      <w:r w:rsidRPr="000E77AB">
        <w:t xml:space="preserve"> has been calculated from the plants at the top of the merit order.</w:t>
      </w:r>
    </w:p>
    <w:p w:rsidR="00A91362" w:rsidRDefault="00A91362" w:rsidP="00F4281A">
      <w:pPr>
        <w:pStyle w:val="EDNormal"/>
        <w:ind w:left="1080"/>
      </w:pPr>
    </w:p>
    <w:p w:rsidR="00434372" w:rsidRDefault="00434372" w:rsidP="00F4281A">
      <w:pPr>
        <w:pStyle w:val="EDNormal"/>
        <w:ind w:left="1080"/>
      </w:pPr>
      <w:r w:rsidRPr="000E77AB">
        <w:t>Fixed Charges from all the generating stations (irrespective of the merit order) have been considered for arriving at the power purchase cost.</w:t>
      </w:r>
    </w:p>
    <w:p w:rsidR="00CD57E8" w:rsidRPr="000E77AB" w:rsidRDefault="00CD57E8" w:rsidP="00353E51">
      <w:pPr>
        <w:pStyle w:val="EDNormal"/>
        <w:rPr>
          <w:bCs/>
        </w:rPr>
      </w:pPr>
    </w:p>
    <w:p w:rsidR="00337C5E" w:rsidRDefault="00730E13">
      <w:pPr>
        <w:pStyle w:val="ED-H4"/>
      </w:pPr>
      <w:r w:rsidRPr="004532AF">
        <w:rPr>
          <w:b/>
          <w:i/>
        </w:rPr>
        <w:t>UI O</w:t>
      </w:r>
      <w:r w:rsidR="00434372" w:rsidRPr="004532AF">
        <w:rPr>
          <w:b/>
          <w:i/>
        </w:rPr>
        <w:t>ver-drawal/</w:t>
      </w:r>
      <w:r w:rsidRPr="004532AF">
        <w:rPr>
          <w:b/>
          <w:i/>
        </w:rPr>
        <w:t xml:space="preserve"> U</w:t>
      </w:r>
      <w:r w:rsidR="00434372" w:rsidRPr="004532AF">
        <w:rPr>
          <w:b/>
          <w:i/>
        </w:rPr>
        <w:t>nder-drawal:</w:t>
      </w:r>
      <w:r w:rsidR="00434372" w:rsidRPr="000E77AB">
        <w:t>As per the merit</w:t>
      </w:r>
      <w:r w:rsidRPr="000E77AB">
        <w:t xml:space="preserve"> order principles adopted</w:t>
      </w:r>
      <w:r w:rsidR="00434372" w:rsidRPr="000E77AB">
        <w:t xml:space="preserve"> for estimatin</w:t>
      </w:r>
      <w:r w:rsidR="00874E1F" w:rsidRPr="000E77AB">
        <w:t>g the energy requirement for the control period</w:t>
      </w:r>
      <w:r w:rsidR="00434372" w:rsidRPr="000E77AB">
        <w:t>, no surplus sale of power has been considered for</w:t>
      </w:r>
      <w:r w:rsidRPr="000E77AB">
        <w:t xml:space="preserve"> the control period </w:t>
      </w:r>
      <w:r w:rsidR="00434372" w:rsidRPr="000E77AB">
        <w:t>and power purchase corresponding to meet</w:t>
      </w:r>
      <w:r w:rsidRPr="000E77AB">
        <w:t>ing</w:t>
      </w:r>
      <w:r w:rsidR="00874E1F" w:rsidRPr="000E77AB">
        <w:t xml:space="preserve"> the requirement</w:t>
      </w:r>
      <w:r w:rsidR="00434372" w:rsidRPr="000E77AB">
        <w:t xml:space="preserve">. The UI over-drawal has not been considered for the </w:t>
      </w:r>
      <w:r w:rsidR="00874E1F" w:rsidRPr="000E77AB">
        <w:t>control period</w:t>
      </w:r>
      <w:r w:rsidR="00434372" w:rsidRPr="000E77AB">
        <w:t>.Further, the UI over-drawal/under-drawal quantum and a</w:t>
      </w:r>
      <w:r w:rsidR="00874E1F" w:rsidRPr="000E77AB">
        <w:t>mount would be submitted</w:t>
      </w:r>
      <w:r w:rsidR="00434372" w:rsidRPr="000E77AB">
        <w:t xml:space="preserve"> at the time of true-up based on the actual performance during the year based on the </w:t>
      </w:r>
      <w:r w:rsidR="00874E1F" w:rsidRPr="000E77AB">
        <w:t xml:space="preserve">actual </w:t>
      </w:r>
      <w:r w:rsidR="00434372" w:rsidRPr="000E77AB">
        <w:t>UI bills.</w:t>
      </w:r>
    </w:p>
    <w:p w:rsidR="003F0B34" w:rsidRPr="000E77AB" w:rsidRDefault="003F0B34" w:rsidP="00353E51">
      <w:pPr>
        <w:pStyle w:val="EDNormal"/>
        <w:rPr>
          <w:bCs/>
        </w:rPr>
      </w:pPr>
    </w:p>
    <w:p w:rsidR="00337C5E" w:rsidRDefault="00BB693E" w:rsidP="00AF4940">
      <w:pPr>
        <w:pStyle w:val="ED-H4"/>
      </w:pPr>
      <w:r w:rsidRPr="004532AF">
        <w:rPr>
          <w:b/>
          <w:i/>
        </w:rPr>
        <w:t>PGCIL losses:</w:t>
      </w:r>
      <w:r w:rsidR="00624C9B">
        <w:t>The actual l</w:t>
      </w:r>
      <w:r w:rsidRPr="000E77AB">
        <w:t xml:space="preserve">osses </w:t>
      </w:r>
      <w:r w:rsidR="00CE7C1F">
        <w:t>of FY 2017-18 i.e. 4.07</w:t>
      </w:r>
      <w:r w:rsidR="00624C9B">
        <w:t xml:space="preserve">% </w:t>
      </w:r>
      <w:r w:rsidRPr="000E77AB">
        <w:t xml:space="preserve">have </w:t>
      </w:r>
      <w:r w:rsidR="0025494C" w:rsidRPr="000E77AB">
        <w:t xml:space="preserve">been </w:t>
      </w:r>
      <w:r w:rsidR="00AF4940">
        <w:t>considered for the base</w:t>
      </w:r>
      <w:r w:rsidR="00624C9B">
        <w:t xml:space="preserve"> year and the entire control period </w:t>
      </w:r>
      <w:r w:rsidR="00CE7C1F">
        <w:t>without any escalation i.e. 4.07</w:t>
      </w:r>
      <w:r w:rsidR="00AF4940">
        <w:t>%</w:t>
      </w:r>
      <w:r w:rsidR="000D771C">
        <w:t>.</w:t>
      </w:r>
      <w:r w:rsidR="001D660C">
        <w:t>Weighted</w:t>
      </w:r>
      <w:r w:rsidR="00AF4940">
        <w:t xml:space="preserve"> avg</w:t>
      </w:r>
      <w:r w:rsidR="000D771C">
        <w:t>.</w:t>
      </w:r>
      <w:r w:rsidR="0025494C" w:rsidRPr="000E77AB">
        <w:t xml:space="preserve">For PPCL and KSEB the external losses have been considered as nil as they are </w:t>
      </w:r>
      <w:r w:rsidRPr="000E77AB">
        <w:t>wit</w:t>
      </w:r>
      <w:r w:rsidR="0025494C" w:rsidRPr="000E77AB">
        <w:t>hin the periphery of the licensee</w:t>
      </w:r>
      <w:r w:rsidRPr="000E77AB">
        <w:t xml:space="preserve"> area</w:t>
      </w:r>
      <w:r w:rsidR="0025494C" w:rsidRPr="000E77AB">
        <w:t>.</w:t>
      </w:r>
    </w:p>
    <w:p w:rsidR="0045671D" w:rsidRDefault="0045671D" w:rsidP="00353E51">
      <w:pPr>
        <w:pStyle w:val="EDNormal"/>
        <w:rPr>
          <w:bCs/>
        </w:rPr>
      </w:pPr>
    </w:p>
    <w:p w:rsidR="00337C5E" w:rsidRDefault="00EF2124">
      <w:pPr>
        <w:pStyle w:val="ED-H4"/>
        <w:rPr>
          <w:b/>
        </w:rPr>
      </w:pPr>
      <w:r w:rsidRPr="00114B98">
        <w:rPr>
          <w:b/>
        </w:rPr>
        <w:t>Transmission Charges:</w:t>
      </w:r>
      <w:r w:rsidRPr="008B5BDC">
        <w:t>The petitioner has considered the transmission charges appro</w:t>
      </w:r>
      <w:r w:rsidR="00624C9B">
        <w:t>ved by the commission for FY2018-19 in tariff order</w:t>
      </w:r>
      <w:r w:rsidR="00020AE9" w:rsidRPr="008B5BDC">
        <w:t xml:space="preserve"> and has accordingly calculated the transmission charges per unit for PGCIL and has </w:t>
      </w:r>
      <w:r w:rsidR="00624C9B">
        <w:t>considered the same per unit charges for the entire control period without any escalations.</w:t>
      </w:r>
    </w:p>
    <w:p w:rsidR="001B56E3" w:rsidRDefault="001B56E3" w:rsidP="001B56E3">
      <w:pPr>
        <w:pStyle w:val="EDNormal"/>
      </w:pPr>
    </w:p>
    <w:p w:rsidR="00337C5E" w:rsidRDefault="001B56E3">
      <w:pPr>
        <w:pStyle w:val="ED-H2"/>
        <w:rPr>
          <w:b w:val="0"/>
          <w:lang w:val="en-GB"/>
        </w:rPr>
      </w:pPr>
      <w:bookmarkStart w:id="117" w:name="_Toc523724490"/>
      <w:r w:rsidRPr="00631E50">
        <w:rPr>
          <w:lang w:val="en-GB"/>
        </w:rPr>
        <w:t>Renewable Purchase Obligations</w:t>
      </w:r>
      <w:bookmarkEnd w:id="117"/>
    </w:p>
    <w:p w:rsidR="00337C5E" w:rsidRDefault="001B56E3">
      <w:pPr>
        <w:pStyle w:val="ED-H3"/>
      </w:pPr>
      <w:r w:rsidRPr="000E77AB">
        <w:t>As per JERC (Procurement of Renewable Energy) Regulations</w:t>
      </w:r>
      <w:r>
        <w:t>,</w:t>
      </w:r>
      <w:r w:rsidRPr="000E77AB">
        <w:t xml:space="preserve"> 2010 clause 1 sub clause (1):</w:t>
      </w:r>
    </w:p>
    <w:p w:rsidR="001B56E3" w:rsidRPr="00B44D7B" w:rsidRDefault="001B56E3" w:rsidP="00C62D37">
      <w:pPr>
        <w:pStyle w:val="Heading3"/>
        <w:numPr>
          <w:ilvl w:val="0"/>
          <w:numId w:val="0"/>
        </w:numPr>
        <w:ind w:left="720"/>
        <w:rPr>
          <w:i/>
        </w:rPr>
      </w:pPr>
      <w:r w:rsidRPr="00B44D7B">
        <w:rPr>
          <w:i/>
        </w:rPr>
        <w:t xml:space="preserve">‘’Each distribution licensee shall purchase electricity (in kWh) from renewable energy sources, at a defined minimum percentage of the total consumption of all the </w:t>
      </w:r>
      <w:r w:rsidRPr="00B44D7B">
        <w:rPr>
          <w:i/>
        </w:rPr>
        <w:lastRenderedPageBreak/>
        <w:t>consumers in its area during a year.’’</w:t>
      </w:r>
    </w:p>
    <w:p w:rsidR="001B56E3" w:rsidRPr="000E77AB" w:rsidRDefault="001B56E3" w:rsidP="00C62D37">
      <w:pPr>
        <w:pStyle w:val="Heading3"/>
        <w:numPr>
          <w:ilvl w:val="0"/>
          <w:numId w:val="0"/>
        </w:numPr>
        <w:ind w:left="720"/>
      </w:pPr>
    </w:p>
    <w:p w:rsidR="00337C5E" w:rsidRDefault="001B56E3">
      <w:pPr>
        <w:pStyle w:val="ED-H3"/>
      </w:pPr>
      <w:r w:rsidRPr="000E77AB">
        <w:t>The RPO r</w:t>
      </w:r>
      <w:r w:rsidR="006F5335">
        <w:t xml:space="preserve">equirements as per the </w:t>
      </w:r>
      <w:r w:rsidRPr="000E77AB">
        <w:t xml:space="preserve">JERC (Procurement of Renewable Energy) </w:t>
      </w:r>
      <w:r w:rsidR="00A91362">
        <w:t>third</w:t>
      </w:r>
      <w:r w:rsidR="006F5335">
        <w:t xml:space="preserve"> Amendment </w:t>
      </w:r>
      <w:r w:rsidR="00A91362">
        <w:t>Regulations dated 22</w:t>
      </w:r>
      <w:r w:rsidR="00A91362" w:rsidRPr="00A91362">
        <w:rPr>
          <w:vertAlign w:val="superscript"/>
        </w:rPr>
        <w:t>nd</w:t>
      </w:r>
      <w:r w:rsidR="00A91362">
        <w:t xml:space="preserve"> August 2016</w:t>
      </w:r>
      <w:r w:rsidRPr="000E77AB">
        <w:t xml:space="preserve"> has been considered for the control period.</w:t>
      </w:r>
    </w:p>
    <w:p w:rsidR="001B56E3" w:rsidRPr="000E77AB" w:rsidRDefault="001B56E3" w:rsidP="00C62D37">
      <w:pPr>
        <w:pStyle w:val="Heading3"/>
        <w:numPr>
          <w:ilvl w:val="0"/>
          <w:numId w:val="0"/>
        </w:numPr>
        <w:ind w:left="720"/>
      </w:pPr>
    </w:p>
    <w:p w:rsidR="00337C5E" w:rsidRDefault="001B56E3">
      <w:pPr>
        <w:pStyle w:val="ED-H3"/>
      </w:pPr>
      <w:r w:rsidRPr="00F54227">
        <w:t>The Petitioner has to purchase a certain percentage of total energy purchase for sale to the consumers in its area from renewable energy sources with specific solar and non-solar RPO content.</w:t>
      </w:r>
    </w:p>
    <w:p w:rsidR="007F1DEB" w:rsidRDefault="007F1DEB" w:rsidP="007F1DEB">
      <w:pPr>
        <w:pStyle w:val="ED-H3"/>
        <w:numPr>
          <w:ilvl w:val="0"/>
          <w:numId w:val="0"/>
        </w:numPr>
        <w:ind w:left="720"/>
      </w:pPr>
    </w:p>
    <w:p w:rsidR="00337C5E" w:rsidRDefault="00E3731D">
      <w:pPr>
        <w:pStyle w:val="ED-H3"/>
      </w:pPr>
      <w:r>
        <w:t xml:space="preserve">The </w:t>
      </w:r>
      <w:r w:rsidR="004C44FE">
        <w:t>RPO so far is provided in the table below.</w:t>
      </w:r>
    </w:p>
    <w:p w:rsidR="00337C5E" w:rsidRDefault="00030D41" w:rsidP="00061AA6">
      <w:pPr>
        <w:pStyle w:val="Caption"/>
      </w:pPr>
      <w:bookmarkStart w:id="118" w:name="_Toc523719578"/>
      <w:r>
        <w:t xml:space="preserve">Table </w:t>
      </w:r>
      <w:r w:rsidR="00140E1B">
        <w:fldChar w:fldCharType="begin"/>
      </w:r>
      <w:r w:rsidR="00C94F42">
        <w:instrText xml:space="preserve"> SEQ Table \* ARABIC </w:instrText>
      </w:r>
      <w:r w:rsidR="00140E1B">
        <w:fldChar w:fldCharType="separate"/>
      </w:r>
      <w:r w:rsidR="004B7EE5">
        <w:rPr>
          <w:noProof/>
        </w:rPr>
        <w:t>19</w:t>
      </w:r>
      <w:r w:rsidR="00140E1B">
        <w:rPr>
          <w:noProof/>
        </w:rPr>
        <w:fldChar w:fldCharType="end"/>
      </w:r>
      <w:r w:rsidR="00A91362">
        <w:t xml:space="preserve">: </w:t>
      </w:r>
      <w:r>
        <w:t xml:space="preserve">RPO </w:t>
      </w:r>
      <w:r w:rsidR="00A91362">
        <w:t>Obligation</w:t>
      </w:r>
      <w:bookmarkEnd w:id="118"/>
    </w:p>
    <w:tbl>
      <w:tblPr>
        <w:tblW w:w="1063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621"/>
        <w:gridCol w:w="714"/>
        <w:gridCol w:w="1057"/>
        <w:gridCol w:w="992"/>
        <w:gridCol w:w="992"/>
        <w:gridCol w:w="862"/>
        <w:gridCol w:w="1134"/>
        <w:gridCol w:w="862"/>
        <w:gridCol w:w="981"/>
        <w:gridCol w:w="851"/>
      </w:tblGrid>
      <w:tr w:rsidR="00A91362" w:rsidRPr="00A91362" w:rsidTr="000E7480">
        <w:trPr>
          <w:trHeight w:val="300"/>
        </w:trPr>
        <w:tc>
          <w:tcPr>
            <w:tcW w:w="567" w:type="dxa"/>
            <w:vMerge w:val="restart"/>
            <w:shd w:val="clear" w:color="000000" w:fill="DBDBDB"/>
            <w:vAlign w:val="center"/>
            <w:hideMark/>
          </w:tcPr>
          <w:p w:rsidR="00A91362" w:rsidRPr="00A91362" w:rsidRDefault="00A91362" w:rsidP="00A91362">
            <w:pPr>
              <w:spacing w:line="240" w:lineRule="auto"/>
              <w:jc w:val="center"/>
              <w:rPr>
                <w:b/>
                <w:bCs/>
                <w:sz w:val="22"/>
                <w:szCs w:val="22"/>
                <w:lang w:val="en-IN" w:eastAsia="en-IN"/>
              </w:rPr>
            </w:pPr>
            <w:r w:rsidRPr="00A91362">
              <w:rPr>
                <w:b/>
                <w:bCs/>
                <w:sz w:val="22"/>
                <w:szCs w:val="22"/>
                <w:lang w:val="en-IN" w:eastAsia="en-IN"/>
              </w:rPr>
              <w:t>S.No</w:t>
            </w:r>
          </w:p>
        </w:tc>
        <w:tc>
          <w:tcPr>
            <w:tcW w:w="1621" w:type="dxa"/>
            <w:vMerge w:val="restart"/>
            <w:shd w:val="clear" w:color="000000" w:fill="DBDBDB"/>
            <w:vAlign w:val="center"/>
            <w:hideMark/>
          </w:tcPr>
          <w:p w:rsidR="00A91362" w:rsidRPr="00A91362" w:rsidRDefault="00A91362" w:rsidP="00A91362">
            <w:pPr>
              <w:spacing w:line="240" w:lineRule="auto"/>
              <w:jc w:val="center"/>
              <w:rPr>
                <w:b/>
                <w:bCs/>
                <w:sz w:val="22"/>
                <w:szCs w:val="22"/>
                <w:lang w:val="en-IN" w:eastAsia="en-IN"/>
              </w:rPr>
            </w:pPr>
            <w:r w:rsidRPr="00A91362">
              <w:rPr>
                <w:b/>
                <w:bCs/>
                <w:sz w:val="22"/>
                <w:szCs w:val="22"/>
                <w:lang w:val="en-IN" w:eastAsia="en-IN"/>
              </w:rPr>
              <w:t>Description</w:t>
            </w:r>
          </w:p>
        </w:tc>
        <w:tc>
          <w:tcPr>
            <w:tcW w:w="714" w:type="dxa"/>
            <w:vMerge w:val="restart"/>
            <w:shd w:val="clear" w:color="000000" w:fill="DBDBDB"/>
            <w:vAlign w:val="center"/>
            <w:hideMark/>
          </w:tcPr>
          <w:p w:rsidR="00A91362" w:rsidRPr="00A91362" w:rsidRDefault="00A91362" w:rsidP="00A91362">
            <w:pPr>
              <w:spacing w:line="240" w:lineRule="auto"/>
              <w:jc w:val="center"/>
              <w:rPr>
                <w:b/>
                <w:bCs/>
                <w:sz w:val="22"/>
                <w:szCs w:val="22"/>
                <w:lang w:val="en-IN" w:eastAsia="en-IN"/>
              </w:rPr>
            </w:pPr>
            <w:r w:rsidRPr="00A91362">
              <w:rPr>
                <w:b/>
                <w:bCs/>
                <w:sz w:val="22"/>
                <w:szCs w:val="22"/>
                <w:lang w:val="en-IN" w:eastAsia="en-IN"/>
              </w:rPr>
              <w:t>Unit</w:t>
            </w:r>
          </w:p>
        </w:tc>
        <w:tc>
          <w:tcPr>
            <w:tcW w:w="2049" w:type="dxa"/>
            <w:gridSpan w:val="2"/>
            <w:shd w:val="clear" w:color="000000" w:fill="DBDBDB"/>
            <w:vAlign w:val="center"/>
            <w:hideMark/>
          </w:tcPr>
          <w:p w:rsidR="00A91362" w:rsidRPr="00A91362" w:rsidRDefault="00A91362" w:rsidP="00A91362">
            <w:pPr>
              <w:spacing w:line="240" w:lineRule="auto"/>
              <w:jc w:val="center"/>
              <w:rPr>
                <w:b/>
                <w:bCs/>
                <w:sz w:val="22"/>
                <w:szCs w:val="22"/>
                <w:lang w:val="en-IN" w:eastAsia="en-IN"/>
              </w:rPr>
            </w:pPr>
            <w:r w:rsidRPr="00A91362">
              <w:rPr>
                <w:b/>
                <w:bCs/>
                <w:sz w:val="22"/>
                <w:szCs w:val="22"/>
                <w:lang w:val="en-IN" w:eastAsia="en-IN"/>
              </w:rPr>
              <w:t>Base Year (Projections)</w:t>
            </w:r>
          </w:p>
        </w:tc>
        <w:tc>
          <w:tcPr>
            <w:tcW w:w="5682" w:type="dxa"/>
            <w:gridSpan w:val="6"/>
            <w:shd w:val="clear" w:color="000000" w:fill="DBDBDB"/>
            <w:vAlign w:val="center"/>
            <w:hideMark/>
          </w:tcPr>
          <w:p w:rsidR="00A91362" w:rsidRPr="00A91362" w:rsidRDefault="00A91362" w:rsidP="00A91362">
            <w:pPr>
              <w:spacing w:line="240" w:lineRule="auto"/>
              <w:jc w:val="center"/>
              <w:rPr>
                <w:b/>
                <w:bCs/>
                <w:sz w:val="22"/>
                <w:szCs w:val="22"/>
                <w:lang w:val="en-IN" w:eastAsia="en-IN"/>
              </w:rPr>
            </w:pPr>
            <w:r w:rsidRPr="00A91362">
              <w:rPr>
                <w:b/>
                <w:bCs/>
                <w:sz w:val="22"/>
                <w:szCs w:val="22"/>
                <w:lang w:val="en-IN" w:eastAsia="en-IN"/>
              </w:rPr>
              <w:t>Projections</w:t>
            </w:r>
          </w:p>
        </w:tc>
      </w:tr>
      <w:tr w:rsidR="00A91362" w:rsidRPr="00A91362" w:rsidTr="000E7480">
        <w:trPr>
          <w:trHeight w:val="300"/>
        </w:trPr>
        <w:tc>
          <w:tcPr>
            <w:tcW w:w="567" w:type="dxa"/>
            <w:vMerge/>
            <w:vAlign w:val="center"/>
            <w:hideMark/>
          </w:tcPr>
          <w:p w:rsidR="00A91362" w:rsidRPr="00A91362" w:rsidRDefault="00A91362" w:rsidP="00A91362">
            <w:pPr>
              <w:spacing w:line="240" w:lineRule="auto"/>
              <w:jc w:val="left"/>
              <w:rPr>
                <w:b/>
                <w:bCs/>
                <w:sz w:val="22"/>
                <w:szCs w:val="22"/>
                <w:lang w:val="en-IN" w:eastAsia="en-IN"/>
              </w:rPr>
            </w:pPr>
          </w:p>
        </w:tc>
        <w:tc>
          <w:tcPr>
            <w:tcW w:w="1621" w:type="dxa"/>
            <w:vMerge/>
            <w:vAlign w:val="center"/>
            <w:hideMark/>
          </w:tcPr>
          <w:p w:rsidR="00A91362" w:rsidRPr="00A91362" w:rsidRDefault="00A91362" w:rsidP="00A91362">
            <w:pPr>
              <w:spacing w:line="240" w:lineRule="auto"/>
              <w:jc w:val="left"/>
              <w:rPr>
                <w:b/>
                <w:bCs/>
                <w:sz w:val="22"/>
                <w:szCs w:val="22"/>
                <w:lang w:val="en-IN" w:eastAsia="en-IN"/>
              </w:rPr>
            </w:pPr>
          </w:p>
        </w:tc>
        <w:tc>
          <w:tcPr>
            <w:tcW w:w="714" w:type="dxa"/>
            <w:vMerge/>
            <w:vAlign w:val="center"/>
            <w:hideMark/>
          </w:tcPr>
          <w:p w:rsidR="00A91362" w:rsidRPr="00A91362" w:rsidRDefault="00A91362" w:rsidP="00A91362">
            <w:pPr>
              <w:spacing w:line="240" w:lineRule="auto"/>
              <w:jc w:val="left"/>
              <w:rPr>
                <w:b/>
                <w:bCs/>
                <w:sz w:val="22"/>
                <w:szCs w:val="22"/>
                <w:lang w:val="en-IN" w:eastAsia="en-IN"/>
              </w:rPr>
            </w:pPr>
          </w:p>
        </w:tc>
        <w:tc>
          <w:tcPr>
            <w:tcW w:w="2049" w:type="dxa"/>
            <w:gridSpan w:val="2"/>
            <w:shd w:val="clear" w:color="000000" w:fill="DBDBDB"/>
            <w:vAlign w:val="center"/>
            <w:hideMark/>
          </w:tcPr>
          <w:p w:rsidR="00A91362" w:rsidRPr="00A91362" w:rsidRDefault="00A91362" w:rsidP="00A91362">
            <w:pPr>
              <w:spacing w:line="240" w:lineRule="auto"/>
              <w:jc w:val="center"/>
              <w:rPr>
                <w:b/>
                <w:bCs/>
                <w:sz w:val="22"/>
                <w:szCs w:val="22"/>
                <w:lang w:val="en-IN" w:eastAsia="en-IN"/>
              </w:rPr>
            </w:pPr>
            <w:r w:rsidRPr="00A91362">
              <w:rPr>
                <w:b/>
                <w:bCs/>
                <w:sz w:val="22"/>
                <w:szCs w:val="22"/>
                <w:lang w:val="en-IN" w:eastAsia="en-IN"/>
              </w:rPr>
              <w:t>FY 2018-19</w:t>
            </w:r>
          </w:p>
        </w:tc>
        <w:tc>
          <w:tcPr>
            <w:tcW w:w="1854" w:type="dxa"/>
            <w:gridSpan w:val="2"/>
            <w:shd w:val="clear" w:color="000000" w:fill="DBDBDB"/>
            <w:vAlign w:val="center"/>
            <w:hideMark/>
          </w:tcPr>
          <w:p w:rsidR="00A91362" w:rsidRPr="00A91362" w:rsidRDefault="00A91362" w:rsidP="00A91362">
            <w:pPr>
              <w:spacing w:line="240" w:lineRule="auto"/>
              <w:jc w:val="center"/>
              <w:rPr>
                <w:b/>
                <w:bCs/>
                <w:sz w:val="22"/>
                <w:szCs w:val="22"/>
                <w:lang w:val="en-IN" w:eastAsia="en-IN"/>
              </w:rPr>
            </w:pPr>
            <w:r w:rsidRPr="00A91362">
              <w:rPr>
                <w:b/>
                <w:bCs/>
                <w:sz w:val="22"/>
                <w:szCs w:val="22"/>
                <w:lang w:val="en-IN" w:eastAsia="en-IN"/>
              </w:rPr>
              <w:t>FY 2019-20</w:t>
            </w:r>
          </w:p>
        </w:tc>
        <w:tc>
          <w:tcPr>
            <w:tcW w:w="1996" w:type="dxa"/>
            <w:gridSpan w:val="2"/>
            <w:shd w:val="clear" w:color="000000" w:fill="DBDBDB"/>
            <w:vAlign w:val="center"/>
            <w:hideMark/>
          </w:tcPr>
          <w:p w:rsidR="00A91362" w:rsidRPr="00A91362" w:rsidRDefault="00A91362" w:rsidP="00A91362">
            <w:pPr>
              <w:spacing w:line="240" w:lineRule="auto"/>
              <w:jc w:val="center"/>
              <w:rPr>
                <w:b/>
                <w:bCs/>
                <w:sz w:val="22"/>
                <w:szCs w:val="22"/>
                <w:lang w:val="en-IN" w:eastAsia="en-IN"/>
              </w:rPr>
            </w:pPr>
            <w:r w:rsidRPr="00A91362">
              <w:rPr>
                <w:b/>
                <w:bCs/>
                <w:sz w:val="22"/>
                <w:szCs w:val="22"/>
                <w:lang w:val="en-IN" w:eastAsia="en-IN"/>
              </w:rPr>
              <w:t>FY 2020-21</w:t>
            </w:r>
          </w:p>
        </w:tc>
        <w:tc>
          <w:tcPr>
            <w:tcW w:w="1832" w:type="dxa"/>
            <w:gridSpan w:val="2"/>
            <w:shd w:val="clear" w:color="000000" w:fill="DBDBDB"/>
            <w:vAlign w:val="center"/>
            <w:hideMark/>
          </w:tcPr>
          <w:p w:rsidR="00A91362" w:rsidRPr="00A91362" w:rsidRDefault="00A91362" w:rsidP="00A91362">
            <w:pPr>
              <w:spacing w:line="240" w:lineRule="auto"/>
              <w:jc w:val="center"/>
              <w:rPr>
                <w:b/>
                <w:bCs/>
                <w:sz w:val="22"/>
                <w:szCs w:val="22"/>
                <w:lang w:val="en-IN" w:eastAsia="en-IN"/>
              </w:rPr>
            </w:pPr>
            <w:r w:rsidRPr="00A91362">
              <w:rPr>
                <w:b/>
                <w:bCs/>
                <w:sz w:val="22"/>
                <w:szCs w:val="22"/>
                <w:lang w:val="en-IN" w:eastAsia="en-IN"/>
              </w:rPr>
              <w:t>FY 2021-22</w:t>
            </w:r>
          </w:p>
        </w:tc>
      </w:tr>
      <w:tr w:rsidR="00A91362" w:rsidRPr="00A91362" w:rsidTr="000E7480">
        <w:trPr>
          <w:trHeight w:val="300"/>
        </w:trPr>
        <w:tc>
          <w:tcPr>
            <w:tcW w:w="567" w:type="dxa"/>
            <w:shd w:val="clear" w:color="auto" w:fill="auto"/>
            <w:noWrap/>
            <w:vAlign w:val="bottom"/>
            <w:hideMark/>
          </w:tcPr>
          <w:p w:rsidR="00A91362" w:rsidRPr="00A91362" w:rsidRDefault="00A91362" w:rsidP="00A91362">
            <w:pPr>
              <w:spacing w:line="240" w:lineRule="auto"/>
              <w:jc w:val="left"/>
              <w:rPr>
                <w:sz w:val="22"/>
                <w:szCs w:val="22"/>
                <w:lang w:val="en-IN" w:eastAsia="en-IN"/>
              </w:rPr>
            </w:pPr>
            <w:r w:rsidRPr="00A91362">
              <w:rPr>
                <w:sz w:val="22"/>
                <w:szCs w:val="22"/>
                <w:lang w:val="en-IN" w:eastAsia="en-IN"/>
              </w:rPr>
              <w:t> </w:t>
            </w:r>
          </w:p>
        </w:tc>
        <w:tc>
          <w:tcPr>
            <w:tcW w:w="1621" w:type="dxa"/>
            <w:shd w:val="clear" w:color="auto" w:fill="auto"/>
            <w:vAlign w:val="bottom"/>
            <w:hideMark/>
          </w:tcPr>
          <w:p w:rsidR="00A91362" w:rsidRPr="00A91362" w:rsidRDefault="00A91362" w:rsidP="00A91362">
            <w:pPr>
              <w:spacing w:line="240" w:lineRule="auto"/>
              <w:jc w:val="left"/>
              <w:rPr>
                <w:sz w:val="22"/>
                <w:szCs w:val="22"/>
                <w:lang w:val="en-IN" w:eastAsia="en-IN"/>
              </w:rPr>
            </w:pPr>
            <w:r w:rsidRPr="00A91362">
              <w:rPr>
                <w:sz w:val="22"/>
                <w:szCs w:val="22"/>
                <w:lang w:val="en-IN" w:eastAsia="en-IN"/>
              </w:rPr>
              <w:t> </w:t>
            </w:r>
          </w:p>
        </w:tc>
        <w:tc>
          <w:tcPr>
            <w:tcW w:w="714" w:type="dxa"/>
            <w:shd w:val="clear" w:color="auto" w:fill="auto"/>
            <w:noWrap/>
            <w:vAlign w:val="center"/>
            <w:hideMark/>
          </w:tcPr>
          <w:p w:rsidR="00A91362" w:rsidRPr="00A91362" w:rsidRDefault="00A91362" w:rsidP="00A91362">
            <w:pPr>
              <w:spacing w:line="240" w:lineRule="auto"/>
              <w:jc w:val="center"/>
              <w:rPr>
                <w:sz w:val="22"/>
                <w:szCs w:val="22"/>
                <w:lang w:val="en-IN" w:eastAsia="en-IN"/>
              </w:rPr>
            </w:pPr>
            <w:r w:rsidRPr="00A91362">
              <w:rPr>
                <w:sz w:val="22"/>
                <w:szCs w:val="22"/>
                <w:lang w:val="en-IN" w:eastAsia="en-IN"/>
              </w:rPr>
              <w:t> </w:t>
            </w:r>
          </w:p>
        </w:tc>
        <w:tc>
          <w:tcPr>
            <w:tcW w:w="1057" w:type="dxa"/>
            <w:shd w:val="clear" w:color="000000" w:fill="DBDBDB"/>
            <w:vAlign w:val="center"/>
            <w:hideMark/>
          </w:tcPr>
          <w:p w:rsidR="00A91362" w:rsidRPr="00A91362" w:rsidRDefault="00A91362" w:rsidP="00A91362">
            <w:pPr>
              <w:spacing w:line="240" w:lineRule="auto"/>
              <w:jc w:val="center"/>
              <w:rPr>
                <w:b/>
                <w:bCs/>
                <w:sz w:val="22"/>
                <w:szCs w:val="22"/>
                <w:lang w:val="en-IN" w:eastAsia="en-IN"/>
              </w:rPr>
            </w:pPr>
            <w:r w:rsidRPr="00A91362">
              <w:rPr>
                <w:b/>
                <w:bCs/>
                <w:sz w:val="22"/>
                <w:szCs w:val="22"/>
                <w:lang w:val="en-IN" w:eastAsia="en-IN"/>
              </w:rPr>
              <w:t>Physical</w:t>
            </w:r>
          </w:p>
        </w:tc>
        <w:tc>
          <w:tcPr>
            <w:tcW w:w="992" w:type="dxa"/>
            <w:shd w:val="clear" w:color="000000" w:fill="DBDBDB"/>
            <w:vAlign w:val="center"/>
            <w:hideMark/>
          </w:tcPr>
          <w:p w:rsidR="00A91362" w:rsidRPr="00A91362" w:rsidRDefault="00A91362" w:rsidP="00A91362">
            <w:pPr>
              <w:spacing w:line="240" w:lineRule="auto"/>
              <w:jc w:val="center"/>
              <w:rPr>
                <w:b/>
                <w:bCs/>
                <w:sz w:val="22"/>
                <w:szCs w:val="22"/>
                <w:lang w:val="en-IN" w:eastAsia="en-IN"/>
              </w:rPr>
            </w:pPr>
            <w:r w:rsidRPr="00A91362">
              <w:rPr>
                <w:b/>
                <w:bCs/>
                <w:sz w:val="22"/>
                <w:szCs w:val="22"/>
                <w:lang w:val="en-IN" w:eastAsia="en-IN"/>
              </w:rPr>
              <w:t>REC</w:t>
            </w:r>
          </w:p>
        </w:tc>
        <w:tc>
          <w:tcPr>
            <w:tcW w:w="992" w:type="dxa"/>
            <w:shd w:val="clear" w:color="000000" w:fill="DBDBDB"/>
            <w:vAlign w:val="center"/>
            <w:hideMark/>
          </w:tcPr>
          <w:p w:rsidR="00A91362" w:rsidRPr="00A91362" w:rsidRDefault="00A91362" w:rsidP="00A91362">
            <w:pPr>
              <w:spacing w:line="240" w:lineRule="auto"/>
              <w:jc w:val="center"/>
              <w:rPr>
                <w:b/>
                <w:bCs/>
                <w:sz w:val="22"/>
                <w:szCs w:val="22"/>
                <w:lang w:val="en-IN" w:eastAsia="en-IN"/>
              </w:rPr>
            </w:pPr>
            <w:r w:rsidRPr="00A91362">
              <w:rPr>
                <w:b/>
                <w:bCs/>
                <w:sz w:val="22"/>
                <w:szCs w:val="22"/>
                <w:lang w:val="en-IN" w:eastAsia="en-IN"/>
              </w:rPr>
              <w:t>Physical</w:t>
            </w:r>
          </w:p>
        </w:tc>
        <w:tc>
          <w:tcPr>
            <w:tcW w:w="862" w:type="dxa"/>
            <w:shd w:val="clear" w:color="000000" w:fill="DBDBDB"/>
            <w:vAlign w:val="center"/>
            <w:hideMark/>
          </w:tcPr>
          <w:p w:rsidR="00A91362" w:rsidRPr="00A91362" w:rsidRDefault="00A91362" w:rsidP="00A91362">
            <w:pPr>
              <w:spacing w:line="240" w:lineRule="auto"/>
              <w:jc w:val="center"/>
              <w:rPr>
                <w:b/>
                <w:bCs/>
                <w:sz w:val="22"/>
                <w:szCs w:val="22"/>
                <w:lang w:val="en-IN" w:eastAsia="en-IN"/>
              </w:rPr>
            </w:pPr>
            <w:r w:rsidRPr="00A91362">
              <w:rPr>
                <w:b/>
                <w:bCs/>
                <w:sz w:val="22"/>
                <w:szCs w:val="22"/>
                <w:lang w:val="en-IN" w:eastAsia="en-IN"/>
              </w:rPr>
              <w:t>REC</w:t>
            </w:r>
          </w:p>
        </w:tc>
        <w:tc>
          <w:tcPr>
            <w:tcW w:w="1134" w:type="dxa"/>
            <w:shd w:val="clear" w:color="000000" w:fill="DBDBDB"/>
            <w:vAlign w:val="center"/>
            <w:hideMark/>
          </w:tcPr>
          <w:p w:rsidR="00A91362" w:rsidRPr="00A91362" w:rsidRDefault="00A91362" w:rsidP="00A91362">
            <w:pPr>
              <w:spacing w:line="240" w:lineRule="auto"/>
              <w:jc w:val="center"/>
              <w:rPr>
                <w:b/>
                <w:bCs/>
                <w:sz w:val="22"/>
                <w:szCs w:val="22"/>
                <w:lang w:val="en-IN" w:eastAsia="en-IN"/>
              </w:rPr>
            </w:pPr>
            <w:r w:rsidRPr="00A91362">
              <w:rPr>
                <w:b/>
                <w:bCs/>
                <w:sz w:val="22"/>
                <w:szCs w:val="22"/>
                <w:lang w:val="en-IN" w:eastAsia="en-IN"/>
              </w:rPr>
              <w:t>Physical</w:t>
            </w:r>
          </w:p>
        </w:tc>
        <w:tc>
          <w:tcPr>
            <w:tcW w:w="862" w:type="dxa"/>
            <w:shd w:val="clear" w:color="000000" w:fill="DBDBDB"/>
            <w:vAlign w:val="center"/>
            <w:hideMark/>
          </w:tcPr>
          <w:p w:rsidR="00A91362" w:rsidRPr="00A91362" w:rsidRDefault="00A91362" w:rsidP="00A91362">
            <w:pPr>
              <w:spacing w:line="240" w:lineRule="auto"/>
              <w:jc w:val="center"/>
              <w:rPr>
                <w:b/>
                <w:bCs/>
                <w:sz w:val="22"/>
                <w:szCs w:val="22"/>
                <w:lang w:val="en-IN" w:eastAsia="en-IN"/>
              </w:rPr>
            </w:pPr>
            <w:r w:rsidRPr="00A91362">
              <w:rPr>
                <w:b/>
                <w:bCs/>
                <w:sz w:val="22"/>
                <w:szCs w:val="22"/>
                <w:lang w:val="en-IN" w:eastAsia="en-IN"/>
              </w:rPr>
              <w:t>REC</w:t>
            </w:r>
          </w:p>
        </w:tc>
        <w:tc>
          <w:tcPr>
            <w:tcW w:w="981" w:type="dxa"/>
            <w:shd w:val="clear" w:color="000000" w:fill="DBDBDB"/>
            <w:vAlign w:val="center"/>
            <w:hideMark/>
          </w:tcPr>
          <w:p w:rsidR="00A91362" w:rsidRPr="00A91362" w:rsidRDefault="00A91362" w:rsidP="00A91362">
            <w:pPr>
              <w:spacing w:line="240" w:lineRule="auto"/>
              <w:jc w:val="center"/>
              <w:rPr>
                <w:b/>
                <w:bCs/>
                <w:sz w:val="22"/>
                <w:szCs w:val="22"/>
                <w:lang w:val="en-IN" w:eastAsia="en-IN"/>
              </w:rPr>
            </w:pPr>
            <w:r w:rsidRPr="00A91362">
              <w:rPr>
                <w:b/>
                <w:bCs/>
                <w:sz w:val="22"/>
                <w:szCs w:val="22"/>
                <w:lang w:val="en-IN" w:eastAsia="en-IN"/>
              </w:rPr>
              <w:t>Physical</w:t>
            </w:r>
          </w:p>
        </w:tc>
        <w:tc>
          <w:tcPr>
            <w:tcW w:w="851" w:type="dxa"/>
            <w:shd w:val="clear" w:color="000000" w:fill="DBDBDB"/>
            <w:vAlign w:val="center"/>
            <w:hideMark/>
          </w:tcPr>
          <w:p w:rsidR="00A91362" w:rsidRPr="00A91362" w:rsidRDefault="00A91362" w:rsidP="00A91362">
            <w:pPr>
              <w:spacing w:line="240" w:lineRule="auto"/>
              <w:jc w:val="center"/>
              <w:rPr>
                <w:b/>
                <w:bCs/>
                <w:sz w:val="22"/>
                <w:szCs w:val="22"/>
                <w:lang w:val="en-IN" w:eastAsia="en-IN"/>
              </w:rPr>
            </w:pPr>
            <w:r w:rsidRPr="00A91362">
              <w:rPr>
                <w:b/>
                <w:bCs/>
                <w:sz w:val="22"/>
                <w:szCs w:val="22"/>
                <w:lang w:val="en-IN" w:eastAsia="en-IN"/>
              </w:rPr>
              <w:t>REC</w:t>
            </w:r>
          </w:p>
        </w:tc>
      </w:tr>
      <w:tr w:rsidR="00A91362" w:rsidRPr="00A91362" w:rsidTr="000E7480">
        <w:trPr>
          <w:trHeight w:val="300"/>
        </w:trPr>
        <w:tc>
          <w:tcPr>
            <w:tcW w:w="567" w:type="dxa"/>
            <w:shd w:val="clear" w:color="auto" w:fill="auto"/>
            <w:noWrap/>
            <w:vAlign w:val="center"/>
            <w:hideMark/>
          </w:tcPr>
          <w:p w:rsidR="00A91362" w:rsidRPr="00A91362" w:rsidRDefault="00A91362" w:rsidP="00A91362">
            <w:pPr>
              <w:spacing w:line="240" w:lineRule="auto"/>
              <w:jc w:val="center"/>
              <w:rPr>
                <w:sz w:val="22"/>
                <w:szCs w:val="22"/>
                <w:lang w:val="en-IN" w:eastAsia="en-IN"/>
              </w:rPr>
            </w:pPr>
            <w:r w:rsidRPr="00A91362">
              <w:rPr>
                <w:sz w:val="22"/>
                <w:szCs w:val="22"/>
                <w:lang w:val="en-IN" w:eastAsia="en-IN"/>
              </w:rPr>
              <w:t>1</w:t>
            </w:r>
          </w:p>
        </w:tc>
        <w:tc>
          <w:tcPr>
            <w:tcW w:w="1621" w:type="dxa"/>
            <w:shd w:val="clear" w:color="auto" w:fill="auto"/>
            <w:noWrap/>
            <w:vAlign w:val="center"/>
            <w:hideMark/>
          </w:tcPr>
          <w:p w:rsidR="00A91362" w:rsidRPr="00A91362" w:rsidRDefault="00A91362" w:rsidP="00A91362">
            <w:pPr>
              <w:spacing w:line="240" w:lineRule="auto"/>
              <w:jc w:val="left"/>
              <w:rPr>
                <w:sz w:val="22"/>
                <w:szCs w:val="22"/>
                <w:lang w:val="en-IN" w:eastAsia="en-IN"/>
              </w:rPr>
            </w:pPr>
            <w:r w:rsidRPr="00A91362">
              <w:rPr>
                <w:sz w:val="22"/>
                <w:szCs w:val="22"/>
                <w:lang w:val="en-IN" w:eastAsia="en-IN"/>
              </w:rPr>
              <w:t>Sales Within State</w:t>
            </w:r>
          </w:p>
        </w:tc>
        <w:tc>
          <w:tcPr>
            <w:tcW w:w="714" w:type="dxa"/>
            <w:shd w:val="clear" w:color="auto" w:fill="auto"/>
            <w:noWrap/>
            <w:vAlign w:val="center"/>
            <w:hideMark/>
          </w:tcPr>
          <w:p w:rsidR="00A91362" w:rsidRPr="00A91362" w:rsidRDefault="00A91362" w:rsidP="00A91362">
            <w:pPr>
              <w:spacing w:line="240" w:lineRule="auto"/>
              <w:jc w:val="center"/>
              <w:rPr>
                <w:sz w:val="22"/>
                <w:szCs w:val="22"/>
                <w:lang w:val="en-IN" w:eastAsia="en-IN"/>
              </w:rPr>
            </w:pPr>
            <w:r w:rsidRPr="00A91362">
              <w:rPr>
                <w:sz w:val="22"/>
                <w:szCs w:val="22"/>
                <w:lang w:val="en-IN" w:eastAsia="en-IN"/>
              </w:rPr>
              <w:t>MUs</w:t>
            </w:r>
          </w:p>
        </w:tc>
        <w:tc>
          <w:tcPr>
            <w:tcW w:w="2049" w:type="dxa"/>
            <w:gridSpan w:val="2"/>
            <w:shd w:val="clear" w:color="auto" w:fill="auto"/>
            <w:noWrap/>
            <w:vAlign w:val="center"/>
            <w:hideMark/>
          </w:tcPr>
          <w:p w:rsidR="00A91362" w:rsidRPr="00A91362" w:rsidRDefault="00607750" w:rsidP="00735CAB">
            <w:pPr>
              <w:spacing w:line="240" w:lineRule="auto"/>
              <w:jc w:val="right"/>
              <w:rPr>
                <w:sz w:val="22"/>
                <w:szCs w:val="22"/>
                <w:lang w:val="en-IN" w:eastAsia="en-IN"/>
              </w:rPr>
            </w:pPr>
            <w:r>
              <w:rPr>
                <w:sz w:val="22"/>
                <w:szCs w:val="22"/>
                <w:lang w:val="en-IN" w:eastAsia="en-IN"/>
              </w:rPr>
              <w:t>2,643.85</w:t>
            </w:r>
          </w:p>
        </w:tc>
        <w:tc>
          <w:tcPr>
            <w:tcW w:w="1854" w:type="dxa"/>
            <w:gridSpan w:val="2"/>
            <w:shd w:val="clear" w:color="auto" w:fill="auto"/>
            <w:noWrap/>
            <w:vAlign w:val="center"/>
            <w:hideMark/>
          </w:tcPr>
          <w:p w:rsidR="00A91362" w:rsidRPr="00A91362" w:rsidRDefault="00607750" w:rsidP="00735CAB">
            <w:pPr>
              <w:spacing w:line="240" w:lineRule="auto"/>
              <w:jc w:val="right"/>
              <w:rPr>
                <w:sz w:val="22"/>
                <w:szCs w:val="22"/>
                <w:lang w:val="en-IN" w:eastAsia="en-IN"/>
              </w:rPr>
            </w:pPr>
            <w:r>
              <w:rPr>
                <w:sz w:val="22"/>
                <w:szCs w:val="22"/>
                <w:lang w:val="en-IN" w:eastAsia="en-IN"/>
              </w:rPr>
              <w:t>2,733.29</w:t>
            </w:r>
          </w:p>
        </w:tc>
        <w:tc>
          <w:tcPr>
            <w:tcW w:w="1996" w:type="dxa"/>
            <w:gridSpan w:val="2"/>
            <w:shd w:val="clear" w:color="auto" w:fill="auto"/>
            <w:noWrap/>
            <w:vAlign w:val="center"/>
            <w:hideMark/>
          </w:tcPr>
          <w:p w:rsidR="00A91362" w:rsidRPr="00A91362" w:rsidRDefault="00607750" w:rsidP="00735CAB">
            <w:pPr>
              <w:spacing w:line="240" w:lineRule="auto"/>
              <w:jc w:val="right"/>
              <w:rPr>
                <w:sz w:val="22"/>
                <w:szCs w:val="22"/>
                <w:lang w:val="en-IN" w:eastAsia="en-IN"/>
              </w:rPr>
            </w:pPr>
            <w:r>
              <w:rPr>
                <w:sz w:val="22"/>
                <w:szCs w:val="22"/>
                <w:lang w:val="en-IN" w:eastAsia="en-IN"/>
              </w:rPr>
              <w:t>2,842.36</w:t>
            </w:r>
          </w:p>
        </w:tc>
        <w:tc>
          <w:tcPr>
            <w:tcW w:w="1832" w:type="dxa"/>
            <w:gridSpan w:val="2"/>
            <w:shd w:val="clear" w:color="auto" w:fill="auto"/>
            <w:noWrap/>
            <w:vAlign w:val="center"/>
            <w:hideMark/>
          </w:tcPr>
          <w:p w:rsidR="00A91362" w:rsidRPr="00A91362" w:rsidRDefault="00607750" w:rsidP="00735CAB">
            <w:pPr>
              <w:spacing w:line="240" w:lineRule="auto"/>
              <w:jc w:val="right"/>
              <w:rPr>
                <w:sz w:val="22"/>
                <w:szCs w:val="22"/>
                <w:lang w:val="en-IN" w:eastAsia="en-IN"/>
              </w:rPr>
            </w:pPr>
            <w:r>
              <w:rPr>
                <w:sz w:val="22"/>
                <w:szCs w:val="22"/>
                <w:lang w:val="en-IN" w:eastAsia="en-IN"/>
              </w:rPr>
              <w:t>2,959.80</w:t>
            </w:r>
          </w:p>
        </w:tc>
      </w:tr>
      <w:tr w:rsidR="00BD6043" w:rsidRPr="00A91362" w:rsidTr="000E7480">
        <w:trPr>
          <w:trHeight w:val="300"/>
        </w:trPr>
        <w:tc>
          <w:tcPr>
            <w:tcW w:w="567" w:type="dxa"/>
            <w:shd w:val="clear" w:color="auto" w:fill="auto"/>
            <w:noWrap/>
            <w:vAlign w:val="center"/>
            <w:hideMark/>
          </w:tcPr>
          <w:p w:rsidR="00BD6043" w:rsidRPr="00A91362" w:rsidRDefault="00BD6043" w:rsidP="00A91362">
            <w:pPr>
              <w:spacing w:line="240" w:lineRule="auto"/>
              <w:jc w:val="center"/>
              <w:rPr>
                <w:sz w:val="22"/>
                <w:szCs w:val="22"/>
                <w:lang w:val="en-IN" w:eastAsia="en-IN"/>
              </w:rPr>
            </w:pPr>
            <w:r w:rsidRPr="00A91362">
              <w:rPr>
                <w:sz w:val="22"/>
                <w:szCs w:val="22"/>
                <w:lang w:val="en-IN" w:eastAsia="en-IN"/>
              </w:rPr>
              <w:t>2</w:t>
            </w:r>
          </w:p>
        </w:tc>
        <w:tc>
          <w:tcPr>
            <w:tcW w:w="1621" w:type="dxa"/>
            <w:shd w:val="clear" w:color="auto" w:fill="auto"/>
            <w:noWrap/>
            <w:vAlign w:val="center"/>
            <w:hideMark/>
          </w:tcPr>
          <w:p w:rsidR="00BD6043" w:rsidRPr="00A91362" w:rsidRDefault="00BD6043" w:rsidP="00A91362">
            <w:pPr>
              <w:spacing w:line="240" w:lineRule="auto"/>
              <w:jc w:val="left"/>
              <w:rPr>
                <w:sz w:val="22"/>
                <w:szCs w:val="22"/>
                <w:lang w:val="en-IN" w:eastAsia="en-IN"/>
              </w:rPr>
            </w:pPr>
            <w:r w:rsidRPr="00A91362">
              <w:rPr>
                <w:sz w:val="22"/>
                <w:szCs w:val="22"/>
                <w:lang w:val="en-IN" w:eastAsia="en-IN"/>
              </w:rPr>
              <w:t xml:space="preserve">RPO Obligation </w:t>
            </w:r>
          </w:p>
        </w:tc>
        <w:tc>
          <w:tcPr>
            <w:tcW w:w="714" w:type="dxa"/>
            <w:shd w:val="clear" w:color="auto" w:fill="auto"/>
            <w:noWrap/>
            <w:vAlign w:val="center"/>
            <w:hideMark/>
          </w:tcPr>
          <w:p w:rsidR="00BD6043" w:rsidRPr="00A91362" w:rsidRDefault="00BD6043" w:rsidP="00A91362">
            <w:pPr>
              <w:spacing w:line="240" w:lineRule="auto"/>
              <w:jc w:val="center"/>
              <w:rPr>
                <w:sz w:val="22"/>
                <w:szCs w:val="22"/>
                <w:lang w:val="en-IN" w:eastAsia="en-IN"/>
              </w:rPr>
            </w:pPr>
            <w:r w:rsidRPr="00A91362">
              <w:rPr>
                <w:sz w:val="22"/>
                <w:szCs w:val="22"/>
                <w:lang w:val="en-IN" w:eastAsia="en-IN"/>
              </w:rPr>
              <w:t>%</w:t>
            </w:r>
          </w:p>
        </w:tc>
        <w:tc>
          <w:tcPr>
            <w:tcW w:w="2049" w:type="dxa"/>
            <w:gridSpan w:val="2"/>
            <w:shd w:val="clear" w:color="auto" w:fill="auto"/>
            <w:noWrap/>
            <w:vAlign w:val="center"/>
            <w:hideMark/>
          </w:tcPr>
          <w:p w:rsidR="00BD6043" w:rsidRPr="00A91362" w:rsidRDefault="00BD6043" w:rsidP="00735CAB">
            <w:pPr>
              <w:spacing w:line="240" w:lineRule="auto"/>
              <w:jc w:val="right"/>
              <w:rPr>
                <w:b/>
                <w:bCs/>
                <w:sz w:val="22"/>
                <w:szCs w:val="22"/>
                <w:lang w:val="en-IN" w:eastAsia="en-IN"/>
              </w:rPr>
            </w:pPr>
            <w:r w:rsidRPr="00A91362">
              <w:rPr>
                <w:b/>
                <w:bCs/>
                <w:sz w:val="22"/>
                <w:szCs w:val="22"/>
                <w:lang w:val="en-IN" w:eastAsia="en-IN"/>
              </w:rPr>
              <w:t>5.40%</w:t>
            </w:r>
          </w:p>
        </w:tc>
        <w:tc>
          <w:tcPr>
            <w:tcW w:w="1854" w:type="dxa"/>
            <w:gridSpan w:val="2"/>
            <w:shd w:val="clear" w:color="auto" w:fill="auto"/>
            <w:noWrap/>
            <w:vAlign w:val="center"/>
            <w:hideMark/>
          </w:tcPr>
          <w:p w:rsidR="00BD6043" w:rsidRPr="00A91362" w:rsidRDefault="00BD6043" w:rsidP="00735CAB">
            <w:pPr>
              <w:spacing w:line="240" w:lineRule="auto"/>
              <w:jc w:val="right"/>
              <w:rPr>
                <w:b/>
                <w:bCs/>
                <w:sz w:val="22"/>
                <w:szCs w:val="22"/>
                <w:lang w:val="en-IN" w:eastAsia="en-IN"/>
              </w:rPr>
            </w:pPr>
            <w:r w:rsidRPr="00A91362">
              <w:rPr>
                <w:b/>
                <w:bCs/>
                <w:sz w:val="22"/>
                <w:szCs w:val="22"/>
                <w:lang w:val="en-IN" w:eastAsia="en-IN"/>
              </w:rPr>
              <w:t>11.50%</w:t>
            </w:r>
          </w:p>
        </w:tc>
        <w:tc>
          <w:tcPr>
            <w:tcW w:w="1996" w:type="dxa"/>
            <w:gridSpan w:val="2"/>
            <w:shd w:val="clear" w:color="auto" w:fill="auto"/>
            <w:noWrap/>
            <w:vAlign w:val="center"/>
            <w:hideMark/>
          </w:tcPr>
          <w:p w:rsidR="00BD6043" w:rsidRPr="00A91362" w:rsidRDefault="00BD6043" w:rsidP="00735CAB">
            <w:pPr>
              <w:spacing w:line="240" w:lineRule="auto"/>
              <w:jc w:val="right"/>
              <w:rPr>
                <w:b/>
                <w:bCs/>
                <w:sz w:val="22"/>
                <w:szCs w:val="22"/>
                <w:lang w:val="en-IN" w:eastAsia="en-IN"/>
              </w:rPr>
            </w:pPr>
            <w:r w:rsidRPr="00A91362">
              <w:rPr>
                <w:b/>
                <w:bCs/>
                <w:sz w:val="22"/>
                <w:szCs w:val="22"/>
                <w:lang w:val="en-IN" w:eastAsia="en-IN"/>
              </w:rPr>
              <w:t>14.10%</w:t>
            </w:r>
          </w:p>
        </w:tc>
        <w:tc>
          <w:tcPr>
            <w:tcW w:w="1832" w:type="dxa"/>
            <w:gridSpan w:val="2"/>
            <w:shd w:val="clear" w:color="auto" w:fill="auto"/>
            <w:noWrap/>
            <w:vAlign w:val="center"/>
            <w:hideMark/>
          </w:tcPr>
          <w:p w:rsidR="00BD6043" w:rsidRPr="00A91362" w:rsidRDefault="00BD6043" w:rsidP="00735CAB">
            <w:pPr>
              <w:spacing w:line="240" w:lineRule="auto"/>
              <w:jc w:val="right"/>
              <w:rPr>
                <w:b/>
                <w:bCs/>
                <w:sz w:val="22"/>
                <w:szCs w:val="22"/>
                <w:lang w:val="en-IN" w:eastAsia="en-IN"/>
              </w:rPr>
            </w:pPr>
            <w:r w:rsidRPr="00A91362">
              <w:rPr>
                <w:b/>
                <w:bCs/>
                <w:sz w:val="22"/>
                <w:szCs w:val="22"/>
                <w:lang w:val="en-IN" w:eastAsia="en-IN"/>
              </w:rPr>
              <w:t>17.00%</w:t>
            </w:r>
          </w:p>
        </w:tc>
      </w:tr>
      <w:tr w:rsidR="00BD6043" w:rsidRPr="00A91362" w:rsidTr="000E7480">
        <w:trPr>
          <w:trHeight w:val="300"/>
        </w:trPr>
        <w:tc>
          <w:tcPr>
            <w:tcW w:w="567" w:type="dxa"/>
            <w:shd w:val="clear" w:color="auto" w:fill="auto"/>
            <w:noWrap/>
            <w:vAlign w:val="center"/>
            <w:hideMark/>
          </w:tcPr>
          <w:p w:rsidR="00BD6043" w:rsidRPr="00A91362" w:rsidRDefault="00BD6043" w:rsidP="00A91362">
            <w:pPr>
              <w:spacing w:line="240" w:lineRule="auto"/>
              <w:jc w:val="center"/>
              <w:rPr>
                <w:sz w:val="22"/>
                <w:szCs w:val="22"/>
                <w:lang w:val="en-IN" w:eastAsia="en-IN"/>
              </w:rPr>
            </w:pPr>
            <w:r w:rsidRPr="00A91362">
              <w:rPr>
                <w:sz w:val="22"/>
                <w:szCs w:val="22"/>
                <w:lang w:val="en-IN" w:eastAsia="en-IN"/>
              </w:rPr>
              <w:t> </w:t>
            </w:r>
          </w:p>
        </w:tc>
        <w:tc>
          <w:tcPr>
            <w:tcW w:w="1621" w:type="dxa"/>
            <w:shd w:val="clear" w:color="auto" w:fill="auto"/>
            <w:noWrap/>
            <w:vAlign w:val="center"/>
            <w:hideMark/>
          </w:tcPr>
          <w:p w:rsidR="00BD6043" w:rsidRPr="00A91362" w:rsidRDefault="00BD6043" w:rsidP="00A91362">
            <w:pPr>
              <w:spacing w:line="240" w:lineRule="auto"/>
              <w:jc w:val="left"/>
              <w:rPr>
                <w:sz w:val="22"/>
                <w:szCs w:val="22"/>
                <w:lang w:val="en-IN" w:eastAsia="en-IN"/>
              </w:rPr>
            </w:pPr>
            <w:r w:rsidRPr="00A91362">
              <w:rPr>
                <w:sz w:val="22"/>
                <w:szCs w:val="22"/>
                <w:lang w:val="en-IN" w:eastAsia="en-IN"/>
              </w:rPr>
              <w:t>- Solar</w:t>
            </w:r>
          </w:p>
        </w:tc>
        <w:tc>
          <w:tcPr>
            <w:tcW w:w="714" w:type="dxa"/>
            <w:shd w:val="clear" w:color="auto" w:fill="auto"/>
            <w:noWrap/>
            <w:vAlign w:val="center"/>
            <w:hideMark/>
          </w:tcPr>
          <w:p w:rsidR="00BD6043" w:rsidRPr="00A91362" w:rsidRDefault="00BD6043" w:rsidP="00A91362">
            <w:pPr>
              <w:spacing w:line="240" w:lineRule="auto"/>
              <w:jc w:val="center"/>
              <w:rPr>
                <w:sz w:val="22"/>
                <w:szCs w:val="22"/>
                <w:lang w:val="en-IN" w:eastAsia="en-IN"/>
              </w:rPr>
            </w:pPr>
            <w:r w:rsidRPr="00A91362">
              <w:rPr>
                <w:sz w:val="22"/>
                <w:szCs w:val="22"/>
                <w:lang w:val="en-IN" w:eastAsia="en-IN"/>
              </w:rPr>
              <w:t>%</w:t>
            </w:r>
          </w:p>
        </w:tc>
        <w:tc>
          <w:tcPr>
            <w:tcW w:w="2049" w:type="dxa"/>
            <w:gridSpan w:val="2"/>
            <w:shd w:val="clear" w:color="auto" w:fill="auto"/>
            <w:noWrap/>
            <w:vAlign w:val="center"/>
            <w:hideMark/>
          </w:tcPr>
          <w:p w:rsidR="00BD6043" w:rsidRPr="00A91362" w:rsidRDefault="00BD6043" w:rsidP="00735CAB">
            <w:pPr>
              <w:spacing w:line="240" w:lineRule="auto"/>
              <w:jc w:val="right"/>
              <w:rPr>
                <w:sz w:val="22"/>
                <w:szCs w:val="22"/>
                <w:lang w:val="en-IN" w:eastAsia="en-IN"/>
              </w:rPr>
            </w:pPr>
            <w:r w:rsidRPr="00A91362">
              <w:rPr>
                <w:sz w:val="22"/>
                <w:szCs w:val="22"/>
                <w:lang w:val="en-IN" w:eastAsia="en-IN"/>
              </w:rPr>
              <w:t>3.60%</w:t>
            </w:r>
          </w:p>
        </w:tc>
        <w:tc>
          <w:tcPr>
            <w:tcW w:w="1854" w:type="dxa"/>
            <w:gridSpan w:val="2"/>
            <w:shd w:val="clear" w:color="auto" w:fill="auto"/>
            <w:noWrap/>
            <w:vAlign w:val="center"/>
            <w:hideMark/>
          </w:tcPr>
          <w:p w:rsidR="00BD6043" w:rsidRPr="00A91362" w:rsidRDefault="00BD6043" w:rsidP="00735CAB">
            <w:pPr>
              <w:spacing w:line="240" w:lineRule="auto"/>
              <w:jc w:val="right"/>
              <w:rPr>
                <w:sz w:val="22"/>
                <w:szCs w:val="22"/>
                <w:lang w:val="en-IN" w:eastAsia="en-IN"/>
              </w:rPr>
            </w:pPr>
            <w:r w:rsidRPr="00A91362">
              <w:rPr>
                <w:sz w:val="22"/>
                <w:szCs w:val="22"/>
                <w:lang w:val="en-IN" w:eastAsia="en-IN"/>
              </w:rPr>
              <w:t>4.70%</w:t>
            </w:r>
          </w:p>
        </w:tc>
        <w:tc>
          <w:tcPr>
            <w:tcW w:w="1996" w:type="dxa"/>
            <w:gridSpan w:val="2"/>
            <w:shd w:val="clear" w:color="auto" w:fill="auto"/>
            <w:noWrap/>
            <w:vAlign w:val="center"/>
            <w:hideMark/>
          </w:tcPr>
          <w:p w:rsidR="00BD6043" w:rsidRPr="00A91362" w:rsidRDefault="00BD6043" w:rsidP="00735CAB">
            <w:pPr>
              <w:spacing w:line="240" w:lineRule="auto"/>
              <w:jc w:val="right"/>
              <w:rPr>
                <w:sz w:val="22"/>
                <w:szCs w:val="22"/>
                <w:lang w:val="en-IN" w:eastAsia="en-IN"/>
              </w:rPr>
            </w:pPr>
            <w:r w:rsidRPr="00A91362">
              <w:rPr>
                <w:sz w:val="22"/>
                <w:szCs w:val="22"/>
                <w:lang w:val="en-IN" w:eastAsia="en-IN"/>
              </w:rPr>
              <w:t>6.10%</w:t>
            </w:r>
          </w:p>
        </w:tc>
        <w:tc>
          <w:tcPr>
            <w:tcW w:w="1832" w:type="dxa"/>
            <w:gridSpan w:val="2"/>
            <w:shd w:val="clear" w:color="auto" w:fill="auto"/>
            <w:noWrap/>
            <w:vAlign w:val="center"/>
            <w:hideMark/>
          </w:tcPr>
          <w:p w:rsidR="00BD6043" w:rsidRPr="00A91362" w:rsidRDefault="00BD6043" w:rsidP="00735CAB">
            <w:pPr>
              <w:spacing w:line="240" w:lineRule="auto"/>
              <w:jc w:val="right"/>
              <w:rPr>
                <w:sz w:val="22"/>
                <w:szCs w:val="22"/>
                <w:lang w:val="en-IN" w:eastAsia="en-IN"/>
              </w:rPr>
            </w:pPr>
            <w:r w:rsidRPr="00A91362">
              <w:rPr>
                <w:sz w:val="22"/>
                <w:szCs w:val="22"/>
                <w:lang w:val="en-IN" w:eastAsia="en-IN"/>
              </w:rPr>
              <w:t>8.00%</w:t>
            </w:r>
          </w:p>
        </w:tc>
      </w:tr>
      <w:tr w:rsidR="00BD6043" w:rsidRPr="00A91362" w:rsidTr="000E7480">
        <w:trPr>
          <w:trHeight w:val="300"/>
        </w:trPr>
        <w:tc>
          <w:tcPr>
            <w:tcW w:w="567" w:type="dxa"/>
            <w:shd w:val="clear" w:color="auto" w:fill="auto"/>
            <w:noWrap/>
            <w:vAlign w:val="center"/>
            <w:hideMark/>
          </w:tcPr>
          <w:p w:rsidR="00BD6043" w:rsidRPr="00A91362" w:rsidRDefault="00BD6043" w:rsidP="00A91362">
            <w:pPr>
              <w:spacing w:line="240" w:lineRule="auto"/>
              <w:jc w:val="center"/>
              <w:rPr>
                <w:sz w:val="22"/>
                <w:szCs w:val="22"/>
                <w:lang w:val="en-IN" w:eastAsia="en-IN"/>
              </w:rPr>
            </w:pPr>
            <w:r w:rsidRPr="00A91362">
              <w:rPr>
                <w:sz w:val="22"/>
                <w:szCs w:val="22"/>
                <w:lang w:val="en-IN" w:eastAsia="en-IN"/>
              </w:rPr>
              <w:t> </w:t>
            </w:r>
          </w:p>
        </w:tc>
        <w:tc>
          <w:tcPr>
            <w:tcW w:w="1621" w:type="dxa"/>
            <w:shd w:val="clear" w:color="auto" w:fill="auto"/>
            <w:noWrap/>
            <w:vAlign w:val="center"/>
            <w:hideMark/>
          </w:tcPr>
          <w:p w:rsidR="00BD6043" w:rsidRPr="00A91362" w:rsidRDefault="00BD6043" w:rsidP="00A91362">
            <w:pPr>
              <w:spacing w:line="240" w:lineRule="auto"/>
              <w:jc w:val="left"/>
              <w:rPr>
                <w:sz w:val="22"/>
                <w:szCs w:val="22"/>
                <w:lang w:val="en-IN" w:eastAsia="en-IN"/>
              </w:rPr>
            </w:pPr>
            <w:r w:rsidRPr="00A91362">
              <w:rPr>
                <w:sz w:val="22"/>
                <w:szCs w:val="22"/>
                <w:lang w:val="en-IN" w:eastAsia="en-IN"/>
              </w:rPr>
              <w:t>- Non Solar</w:t>
            </w:r>
          </w:p>
        </w:tc>
        <w:tc>
          <w:tcPr>
            <w:tcW w:w="714" w:type="dxa"/>
            <w:shd w:val="clear" w:color="auto" w:fill="auto"/>
            <w:noWrap/>
            <w:vAlign w:val="center"/>
            <w:hideMark/>
          </w:tcPr>
          <w:p w:rsidR="00BD6043" w:rsidRPr="00A91362" w:rsidRDefault="00BD6043" w:rsidP="00A91362">
            <w:pPr>
              <w:spacing w:line="240" w:lineRule="auto"/>
              <w:jc w:val="center"/>
              <w:rPr>
                <w:sz w:val="22"/>
                <w:szCs w:val="22"/>
                <w:lang w:val="en-IN" w:eastAsia="en-IN"/>
              </w:rPr>
            </w:pPr>
            <w:r w:rsidRPr="00A91362">
              <w:rPr>
                <w:sz w:val="22"/>
                <w:szCs w:val="22"/>
                <w:lang w:val="en-IN" w:eastAsia="en-IN"/>
              </w:rPr>
              <w:t>%</w:t>
            </w:r>
          </w:p>
        </w:tc>
        <w:tc>
          <w:tcPr>
            <w:tcW w:w="2049" w:type="dxa"/>
            <w:gridSpan w:val="2"/>
            <w:shd w:val="clear" w:color="auto" w:fill="auto"/>
            <w:noWrap/>
            <w:vAlign w:val="center"/>
            <w:hideMark/>
          </w:tcPr>
          <w:p w:rsidR="00BD6043" w:rsidRPr="00A91362" w:rsidRDefault="00BD6043" w:rsidP="00735CAB">
            <w:pPr>
              <w:spacing w:line="240" w:lineRule="auto"/>
              <w:jc w:val="right"/>
              <w:rPr>
                <w:sz w:val="22"/>
                <w:szCs w:val="22"/>
                <w:lang w:val="en-IN" w:eastAsia="en-IN"/>
              </w:rPr>
            </w:pPr>
            <w:r w:rsidRPr="00A91362">
              <w:rPr>
                <w:sz w:val="22"/>
                <w:szCs w:val="22"/>
                <w:lang w:val="en-IN" w:eastAsia="en-IN"/>
              </w:rPr>
              <w:t>5.40%</w:t>
            </w:r>
          </w:p>
        </w:tc>
        <w:tc>
          <w:tcPr>
            <w:tcW w:w="1854" w:type="dxa"/>
            <w:gridSpan w:val="2"/>
            <w:shd w:val="clear" w:color="auto" w:fill="auto"/>
            <w:noWrap/>
            <w:vAlign w:val="center"/>
            <w:hideMark/>
          </w:tcPr>
          <w:p w:rsidR="00BD6043" w:rsidRPr="00A91362" w:rsidRDefault="00BD6043" w:rsidP="00735CAB">
            <w:pPr>
              <w:spacing w:line="240" w:lineRule="auto"/>
              <w:jc w:val="right"/>
              <w:rPr>
                <w:sz w:val="22"/>
                <w:szCs w:val="22"/>
                <w:lang w:val="en-IN" w:eastAsia="en-IN"/>
              </w:rPr>
            </w:pPr>
            <w:r w:rsidRPr="00A91362">
              <w:rPr>
                <w:sz w:val="22"/>
                <w:szCs w:val="22"/>
                <w:lang w:val="en-IN" w:eastAsia="en-IN"/>
              </w:rPr>
              <w:t>6.80%</w:t>
            </w:r>
          </w:p>
        </w:tc>
        <w:tc>
          <w:tcPr>
            <w:tcW w:w="1996" w:type="dxa"/>
            <w:gridSpan w:val="2"/>
            <w:shd w:val="clear" w:color="auto" w:fill="auto"/>
            <w:noWrap/>
            <w:vAlign w:val="center"/>
            <w:hideMark/>
          </w:tcPr>
          <w:p w:rsidR="00BD6043" w:rsidRPr="00A91362" w:rsidRDefault="00BD6043" w:rsidP="00735CAB">
            <w:pPr>
              <w:spacing w:line="240" w:lineRule="auto"/>
              <w:jc w:val="right"/>
              <w:rPr>
                <w:sz w:val="22"/>
                <w:szCs w:val="22"/>
                <w:lang w:val="en-IN" w:eastAsia="en-IN"/>
              </w:rPr>
            </w:pPr>
            <w:r w:rsidRPr="00A91362">
              <w:rPr>
                <w:sz w:val="22"/>
                <w:szCs w:val="22"/>
                <w:lang w:val="en-IN" w:eastAsia="en-IN"/>
              </w:rPr>
              <w:t>8.00%</w:t>
            </w:r>
          </w:p>
        </w:tc>
        <w:tc>
          <w:tcPr>
            <w:tcW w:w="1832" w:type="dxa"/>
            <w:gridSpan w:val="2"/>
            <w:shd w:val="clear" w:color="auto" w:fill="auto"/>
            <w:noWrap/>
            <w:vAlign w:val="center"/>
            <w:hideMark/>
          </w:tcPr>
          <w:p w:rsidR="00BD6043" w:rsidRPr="00A91362" w:rsidRDefault="00BD6043" w:rsidP="00735CAB">
            <w:pPr>
              <w:spacing w:line="240" w:lineRule="auto"/>
              <w:jc w:val="right"/>
              <w:rPr>
                <w:sz w:val="22"/>
                <w:szCs w:val="22"/>
                <w:lang w:val="en-IN" w:eastAsia="en-IN"/>
              </w:rPr>
            </w:pPr>
            <w:r w:rsidRPr="00A91362">
              <w:rPr>
                <w:sz w:val="22"/>
                <w:szCs w:val="22"/>
                <w:lang w:val="en-IN" w:eastAsia="en-IN"/>
              </w:rPr>
              <w:t>9.00%</w:t>
            </w:r>
          </w:p>
        </w:tc>
      </w:tr>
      <w:tr w:rsidR="007854F0" w:rsidRPr="00A91362" w:rsidTr="002A2F33">
        <w:trPr>
          <w:trHeight w:val="300"/>
        </w:trPr>
        <w:tc>
          <w:tcPr>
            <w:tcW w:w="567" w:type="dxa"/>
            <w:shd w:val="clear" w:color="auto" w:fill="auto"/>
            <w:noWrap/>
            <w:vAlign w:val="center"/>
            <w:hideMark/>
          </w:tcPr>
          <w:p w:rsidR="007854F0" w:rsidRPr="00A91362" w:rsidRDefault="007854F0" w:rsidP="007854F0">
            <w:pPr>
              <w:spacing w:line="240" w:lineRule="auto"/>
              <w:jc w:val="center"/>
              <w:rPr>
                <w:sz w:val="22"/>
                <w:szCs w:val="22"/>
                <w:lang w:val="en-IN" w:eastAsia="en-IN"/>
              </w:rPr>
            </w:pPr>
            <w:r w:rsidRPr="00A91362">
              <w:rPr>
                <w:sz w:val="22"/>
                <w:szCs w:val="22"/>
                <w:lang w:val="en-IN" w:eastAsia="en-IN"/>
              </w:rPr>
              <w:t>3</w:t>
            </w:r>
          </w:p>
        </w:tc>
        <w:tc>
          <w:tcPr>
            <w:tcW w:w="1621" w:type="dxa"/>
            <w:shd w:val="clear" w:color="auto" w:fill="auto"/>
            <w:noWrap/>
            <w:vAlign w:val="center"/>
            <w:hideMark/>
          </w:tcPr>
          <w:p w:rsidR="007854F0" w:rsidRPr="00A91362" w:rsidRDefault="007854F0" w:rsidP="007854F0">
            <w:pPr>
              <w:spacing w:line="240" w:lineRule="auto"/>
              <w:jc w:val="left"/>
              <w:rPr>
                <w:sz w:val="22"/>
                <w:szCs w:val="22"/>
                <w:lang w:val="en-IN" w:eastAsia="en-IN"/>
              </w:rPr>
            </w:pPr>
            <w:r w:rsidRPr="00A91362">
              <w:rPr>
                <w:sz w:val="22"/>
                <w:szCs w:val="22"/>
                <w:lang w:val="en-IN" w:eastAsia="en-IN"/>
              </w:rPr>
              <w:t>RPO Obligation</w:t>
            </w:r>
          </w:p>
        </w:tc>
        <w:tc>
          <w:tcPr>
            <w:tcW w:w="714" w:type="dxa"/>
            <w:shd w:val="clear" w:color="auto" w:fill="auto"/>
            <w:noWrap/>
            <w:hideMark/>
          </w:tcPr>
          <w:p w:rsidR="007854F0" w:rsidRDefault="007854F0" w:rsidP="007854F0">
            <w:r w:rsidRPr="00914494">
              <w:rPr>
                <w:sz w:val="22"/>
                <w:szCs w:val="22"/>
                <w:lang w:val="en-IN" w:eastAsia="en-IN"/>
              </w:rPr>
              <w:t>MUs</w:t>
            </w:r>
          </w:p>
        </w:tc>
        <w:tc>
          <w:tcPr>
            <w:tcW w:w="2049" w:type="dxa"/>
            <w:gridSpan w:val="2"/>
            <w:shd w:val="clear" w:color="auto" w:fill="auto"/>
            <w:noWrap/>
            <w:vAlign w:val="center"/>
            <w:hideMark/>
          </w:tcPr>
          <w:p w:rsidR="007854F0" w:rsidRPr="00A91362" w:rsidRDefault="007854F0" w:rsidP="007854F0">
            <w:pPr>
              <w:spacing w:line="240" w:lineRule="auto"/>
              <w:jc w:val="right"/>
              <w:rPr>
                <w:b/>
                <w:bCs/>
                <w:sz w:val="22"/>
                <w:szCs w:val="22"/>
                <w:lang w:val="en-IN" w:eastAsia="en-IN"/>
              </w:rPr>
            </w:pPr>
            <w:r>
              <w:rPr>
                <w:b/>
                <w:bCs/>
                <w:sz w:val="22"/>
                <w:szCs w:val="22"/>
                <w:lang w:val="en-IN" w:eastAsia="en-IN"/>
              </w:rPr>
              <w:t>237.95</w:t>
            </w:r>
          </w:p>
        </w:tc>
        <w:tc>
          <w:tcPr>
            <w:tcW w:w="1854" w:type="dxa"/>
            <w:gridSpan w:val="2"/>
            <w:shd w:val="clear" w:color="auto" w:fill="auto"/>
            <w:noWrap/>
            <w:vAlign w:val="center"/>
            <w:hideMark/>
          </w:tcPr>
          <w:p w:rsidR="007854F0" w:rsidRPr="00A91362" w:rsidRDefault="007854F0" w:rsidP="007854F0">
            <w:pPr>
              <w:spacing w:line="240" w:lineRule="auto"/>
              <w:jc w:val="right"/>
              <w:rPr>
                <w:b/>
                <w:bCs/>
                <w:sz w:val="22"/>
                <w:szCs w:val="22"/>
                <w:lang w:val="en-IN" w:eastAsia="en-IN"/>
              </w:rPr>
            </w:pPr>
            <w:r>
              <w:rPr>
                <w:b/>
                <w:bCs/>
                <w:sz w:val="22"/>
                <w:szCs w:val="22"/>
                <w:lang w:val="en-IN" w:eastAsia="en-IN"/>
              </w:rPr>
              <w:t>314.33</w:t>
            </w:r>
          </w:p>
        </w:tc>
        <w:tc>
          <w:tcPr>
            <w:tcW w:w="1996" w:type="dxa"/>
            <w:gridSpan w:val="2"/>
            <w:shd w:val="clear" w:color="auto" w:fill="auto"/>
            <w:noWrap/>
            <w:vAlign w:val="center"/>
            <w:hideMark/>
          </w:tcPr>
          <w:p w:rsidR="007854F0" w:rsidRPr="00A91362" w:rsidRDefault="007854F0" w:rsidP="007854F0">
            <w:pPr>
              <w:spacing w:line="240" w:lineRule="auto"/>
              <w:jc w:val="right"/>
              <w:rPr>
                <w:b/>
                <w:bCs/>
                <w:sz w:val="22"/>
                <w:szCs w:val="22"/>
                <w:lang w:val="en-IN" w:eastAsia="en-IN"/>
              </w:rPr>
            </w:pPr>
            <w:r>
              <w:rPr>
                <w:b/>
                <w:bCs/>
                <w:sz w:val="22"/>
                <w:szCs w:val="22"/>
                <w:lang w:val="en-IN" w:eastAsia="en-IN"/>
              </w:rPr>
              <w:t>400.77</w:t>
            </w:r>
          </w:p>
        </w:tc>
        <w:tc>
          <w:tcPr>
            <w:tcW w:w="1832" w:type="dxa"/>
            <w:gridSpan w:val="2"/>
            <w:shd w:val="clear" w:color="auto" w:fill="auto"/>
            <w:noWrap/>
            <w:vAlign w:val="center"/>
            <w:hideMark/>
          </w:tcPr>
          <w:p w:rsidR="007854F0" w:rsidRPr="00A91362" w:rsidRDefault="007854F0" w:rsidP="007854F0">
            <w:pPr>
              <w:spacing w:line="240" w:lineRule="auto"/>
              <w:jc w:val="right"/>
              <w:rPr>
                <w:b/>
                <w:bCs/>
                <w:sz w:val="22"/>
                <w:szCs w:val="22"/>
                <w:lang w:val="en-IN" w:eastAsia="en-IN"/>
              </w:rPr>
            </w:pPr>
            <w:r>
              <w:rPr>
                <w:b/>
                <w:bCs/>
                <w:sz w:val="22"/>
                <w:szCs w:val="22"/>
                <w:lang w:val="en-IN" w:eastAsia="en-IN"/>
              </w:rPr>
              <w:t>503.17</w:t>
            </w:r>
          </w:p>
        </w:tc>
      </w:tr>
      <w:tr w:rsidR="007854F0" w:rsidRPr="00A91362" w:rsidTr="002A2F33">
        <w:trPr>
          <w:trHeight w:val="300"/>
        </w:trPr>
        <w:tc>
          <w:tcPr>
            <w:tcW w:w="567" w:type="dxa"/>
            <w:shd w:val="clear" w:color="auto" w:fill="auto"/>
            <w:noWrap/>
            <w:vAlign w:val="center"/>
            <w:hideMark/>
          </w:tcPr>
          <w:p w:rsidR="007854F0" w:rsidRPr="00A91362" w:rsidRDefault="007854F0" w:rsidP="007854F0">
            <w:pPr>
              <w:spacing w:line="240" w:lineRule="auto"/>
              <w:jc w:val="center"/>
              <w:rPr>
                <w:sz w:val="22"/>
                <w:szCs w:val="22"/>
                <w:lang w:val="en-IN" w:eastAsia="en-IN"/>
              </w:rPr>
            </w:pPr>
            <w:r w:rsidRPr="00A91362">
              <w:rPr>
                <w:sz w:val="22"/>
                <w:szCs w:val="22"/>
                <w:lang w:val="en-IN" w:eastAsia="en-IN"/>
              </w:rPr>
              <w:t> </w:t>
            </w:r>
          </w:p>
        </w:tc>
        <w:tc>
          <w:tcPr>
            <w:tcW w:w="1621" w:type="dxa"/>
            <w:shd w:val="clear" w:color="auto" w:fill="auto"/>
            <w:noWrap/>
            <w:vAlign w:val="center"/>
            <w:hideMark/>
          </w:tcPr>
          <w:p w:rsidR="007854F0" w:rsidRPr="00A91362" w:rsidRDefault="007854F0" w:rsidP="007854F0">
            <w:pPr>
              <w:spacing w:line="240" w:lineRule="auto"/>
              <w:jc w:val="left"/>
              <w:rPr>
                <w:sz w:val="22"/>
                <w:szCs w:val="22"/>
                <w:lang w:val="en-IN" w:eastAsia="en-IN"/>
              </w:rPr>
            </w:pPr>
            <w:r w:rsidRPr="00A91362">
              <w:rPr>
                <w:sz w:val="22"/>
                <w:szCs w:val="22"/>
                <w:lang w:val="en-IN" w:eastAsia="en-IN"/>
              </w:rPr>
              <w:t>- Solar</w:t>
            </w:r>
          </w:p>
        </w:tc>
        <w:tc>
          <w:tcPr>
            <w:tcW w:w="714" w:type="dxa"/>
            <w:shd w:val="clear" w:color="auto" w:fill="auto"/>
            <w:noWrap/>
            <w:hideMark/>
          </w:tcPr>
          <w:p w:rsidR="007854F0" w:rsidRDefault="007854F0" w:rsidP="007854F0">
            <w:r w:rsidRPr="00914494">
              <w:rPr>
                <w:sz w:val="22"/>
                <w:szCs w:val="22"/>
                <w:lang w:val="en-IN" w:eastAsia="en-IN"/>
              </w:rPr>
              <w:t>MUs</w:t>
            </w:r>
          </w:p>
        </w:tc>
        <w:tc>
          <w:tcPr>
            <w:tcW w:w="2049" w:type="dxa"/>
            <w:gridSpan w:val="2"/>
            <w:shd w:val="clear" w:color="auto" w:fill="auto"/>
            <w:noWrap/>
            <w:vAlign w:val="center"/>
            <w:hideMark/>
          </w:tcPr>
          <w:p w:rsidR="007854F0" w:rsidRPr="00A91362" w:rsidRDefault="007854F0" w:rsidP="007854F0">
            <w:pPr>
              <w:spacing w:line="240" w:lineRule="auto"/>
              <w:jc w:val="right"/>
              <w:rPr>
                <w:sz w:val="22"/>
                <w:szCs w:val="22"/>
                <w:lang w:val="en-IN" w:eastAsia="en-IN"/>
              </w:rPr>
            </w:pPr>
            <w:r>
              <w:rPr>
                <w:sz w:val="22"/>
                <w:szCs w:val="22"/>
                <w:lang w:val="en-IN" w:eastAsia="en-IN"/>
              </w:rPr>
              <w:t>95.18</w:t>
            </w:r>
          </w:p>
        </w:tc>
        <w:tc>
          <w:tcPr>
            <w:tcW w:w="1854" w:type="dxa"/>
            <w:gridSpan w:val="2"/>
            <w:shd w:val="clear" w:color="auto" w:fill="auto"/>
            <w:noWrap/>
            <w:vAlign w:val="center"/>
            <w:hideMark/>
          </w:tcPr>
          <w:p w:rsidR="007854F0" w:rsidRPr="00A91362" w:rsidRDefault="007854F0" w:rsidP="007854F0">
            <w:pPr>
              <w:spacing w:line="240" w:lineRule="auto"/>
              <w:jc w:val="right"/>
              <w:rPr>
                <w:sz w:val="22"/>
                <w:szCs w:val="22"/>
                <w:lang w:val="en-IN" w:eastAsia="en-IN"/>
              </w:rPr>
            </w:pPr>
            <w:r>
              <w:rPr>
                <w:sz w:val="22"/>
                <w:szCs w:val="22"/>
                <w:lang w:val="en-IN" w:eastAsia="en-IN"/>
              </w:rPr>
              <w:t>128.46</w:t>
            </w:r>
          </w:p>
        </w:tc>
        <w:tc>
          <w:tcPr>
            <w:tcW w:w="1996" w:type="dxa"/>
            <w:gridSpan w:val="2"/>
            <w:shd w:val="clear" w:color="auto" w:fill="auto"/>
            <w:noWrap/>
            <w:vAlign w:val="center"/>
            <w:hideMark/>
          </w:tcPr>
          <w:p w:rsidR="007854F0" w:rsidRPr="00A91362" w:rsidRDefault="007854F0" w:rsidP="007854F0">
            <w:pPr>
              <w:spacing w:line="240" w:lineRule="auto"/>
              <w:jc w:val="right"/>
              <w:rPr>
                <w:sz w:val="22"/>
                <w:szCs w:val="22"/>
                <w:lang w:val="en-IN" w:eastAsia="en-IN"/>
              </w:rPr>
            </w:pPr>
            <w:r>
              <w:rPr>
                <w:sz w:val="22"/>
                <w:szCs w:val="22"/>
                <w:lang w:val="en-IN" w:eastAsia="en-IN"/>
              </w:rPr>
              <w:t>173.78</w:t>
            </w:r>
          </w:p>
        </w:tc>
        <w:tc>
          <w:tcPr>
            <w:tcW w:w="1832" w:type="dxa"/>
            <w:gridSpan w:val="2"/>
            <w:shd w:val="clear" w:color="auto" w:fill="auto"/>
            <w:noWrap/>
            <w:vAlign w:val="center"/>
            <w:hideMark/>
          </w:tcPr>
          <w:p w:rsidR="007854F0" w:rsidRPr="00A91362" w:rsidRDefault="007854F0" w:rsidP="007854F0">
            <w:pPr>
              <w:spacing w:line="240" w:lineRule="auto"/>
              <w:jc w:val="right"/>
              <w:rPr>
                <w:sz w:val="22"/>
                <w:szCs w:val="22"/>
                <w:lang w:val="en-IN" w:eastAsia="en-IN"/>
              </w:rPr>
            </w:pPr>
            <w:r>
              <w:rPr>
                <w:sz w:val="22"/>
                <w:szCs w:val="22"/>
                <w:lang w:val="en-IN" w:eastAsia="en-IN"/>
              </w:rPr>
              <w:t>236.78</w:t>
            </w:r>
          </w:p>
        </w:tc>
      </w:tr>
      <w:tr w:rsidR="007854F0" w:rsidRPr="00A91362" w:rsidTr="002A2F33">
        <w:trPr>
          <w:trHeight w:val="300"/>
        </w:trPr>
        <w:tc>
          <w:tcPr>
            <w:tcW w:w="567" w:type="dxa"/>
            <w:shd w:val="clear" w:color="auto" w:fill="auto"/>
            <w:noWrap/>
            <w:vAlign w:val="center"/>
            <w:hideMark/>
          </w:tcPr>
          <w:p w:rsidR="007854F0" w:rsidRPr="00A91362" w:rsidRDefault="007854F0" w:rsidP="007854F0">
            <w:pPr>
              <w:spacing w:line="240" w:lineRule="auto"/>
              <w:jc w:val="center"/>
              <w:rPr>
                <w:sz w:val="22"/>
                <w:szCs w:val="22"/>
                <w:lang w:val="en-IN" w:eastAsia="en-IN"/>
              </w:rPr>
            </w:pPr>
            <w:r w:rsidRPr="00A91362">
              <w:rPr>
                <w:sz w:val="22"/>
                <w:szCs w:val="22"/>
                <w:lang w:val="en-IN" w:eastAsia="en-IN"/>
              </w:rPr>
              <w:t> </w:t>
            </w:r>
          </w:p>
        </w:tc>
        <w:tc>
          <w:tcPr>
            <w:tcW w:w="1621" w:type="dxa"/>
            <w:shd w:val="clear" w:color="auto" w:fill="auto"/>
            <w:noWrap/>
            <w:vAlign w:val="center"/>
            <w:hideMark/>
          </w:tcPr>
          <w:p w:rsidR="007854F0" w:rsidRPr="00A91362" w:rsidRDefault="007854F0" w:rsidP="007854F0">
            <w:pPr>
              <w:spacing w:line="240" w:lineRule="auto"/>
              <w:jc w:val="left"/>
              <w:rPr>
                <w:sz w:val="22"/>
                <w:szCs w:val="22"/>
                <w:lang w:val="en-IN" w:eastAsia="en-IN"/>
              </w:rPr>
            </w:pPr>
            <w:r w:rsidRPr="00A91362">
              <w:rPr>
                <w:sz w:val="22"/>
                <w:szCs w:val="22"/>
                <w:lang w:val="en-IN" w:eastAsia="en-IN"/>
              </w:rPr>
              <w:t>- Non Solar</w:t>
            </w:r>
          </w:p>
        </w:tc>
        <w:tc>
          <w:tcPr>
            <w:tcW w:w="714" w:type="dxa"/>
            <w:shd w:val="clear" w:color="auto" w:fill="auto"/>
            <w:noWrap/>
            <w:hideMark/>
          </w:tcPr>
          <w:p w:rsidR="007854F0" w:rsidRDefault="007854F0" w:rsidP="007854F0">
            <w:r w:rsidRPr="00914494">
              <w:rPr>
                <w:sz w:val="22"/>
                <w:szCs w:val="22"/>
                <w:lang w:val="en-IN" w:eastAsia="en-IN"/>
              </w:rPr>
              <w:t>MUs</w:t>
            </w:r>
          </w:p>
        </w:tc>
        <w:tc>
          <w:tcPr>
            <w:tcW w:w="2049" w:type="dxa"/>
            <w:gridSpan w:val="2"/>
            <w:shd w:val="clear" w:color="auto" w:fill="auto"/>
            <w:noWrap/>
            <w:vAlign w:val="center"/>
            <w:hideMark/>
          </w:tcPr>
          <w:p w:rsidR="007854F0" w:rsidRPr="00A91362" w:rsidRDefault="007854F0" w:rsidP="007854F0">
            <w:pPr>
              <w:spacing w:line="240" w:lineRule="auto"/>
              <w:jc w:val="right"/>
              <w:rPr>
                <w:sz w:val="22"/>
                <w:szCs w:val="22"/>
                <w:lang w:val="en-IN" w:eastAsia="en-IN"/>
              </w:rPr>
            </w:pPr>
            <w:r>
              <w:rPr>
                <w:sz w:val="22"/>
                <w:szCs w:val="22"/>
                <w:lang w:val="en-IN" w:eastAsia="en-IN"/>
              </w:rPr>
              <w:t>142.77</w:t>
            </w:r>
          </w:p>
        </w:tc>
        <w:tc>
          <w:tcPr>
            <w:tcW w:w="1854" w:type="dxa"/>
            <w:gridSpan w:val="2"/>
            <w:shd w:val="clear" w:color="auto" w:fill="auto"/>
            <w:noWrap/>
            <w:vAlign w:val="center"/>
            <w:hideMark/>
          </w:tcPr>
          <w:p w:rsidR="007854F0" w:rsidRPr="00A91362" w:rsidRDefault="007854F0" w:rsidP="007854F0">
            <w:pPr>
              <w:spacing w:line="240" w:lineRule="auto"/>
              <w:jc w:val="right"/>
              <w:rPr>
                <w:sz w:val="22"/>
                <w:szCs w:val="22"/>
                <w:lang w:val="en-IN" w:eastAsia="en-IN"/>
              </w:rPr>
            </w:pPr>
            <w:r>
              <w:rPr>
                <w:sz w:val="22"/>
                <w:szCs w:val="22"/>
                <w:lang w:val="en-IN" w:eastAsia="en-IN"/>
              </w:rPr>
              <w:t>185.86</w:t>
            </w:r>
          </w:p>
        </w:tc>
        <w:tc>
          <w:tcPr>
            <w:tcW w:w="1996" w:type="dxa"/>
            <w:gridSpan w:val="2"/>
            <w:shd w:val="clear" w:color="auto" w:fill="auto"/>
            <w:noWrap/>
            <w:vAlign w:val="center"/>
            <w:hideMark/>
          </w:tcPr>
          <w:p w:rsidR="007854F0" w:rsidRPr="00A91362" w:rsidRDefault="007854F0" w:rsidP="007854F0">
            <w:pPr>
              <w:spacing w:line="240" w:lineRule="auto"/>
              <w:jc w:val="right"/>
              <w:rPr>
                <w:sz w:val="22"/>
                <w:szCs w:val="22"/>
                <w:lang w:val="en-IN" w:eastAsia="en-IN"/>
              </w:rPr>
            </w:pPr>
            <w:r>
              <w:rPr>
                <w:sz w:val="22"/>
                <w:szCs w:val="22"/>
                <w:lang w:val="en-IN" w:eastAsia="en-IN"/>
              </w:rPr>
              <w:t>227.39</w:t>
            </w:r>
          </w:p>
        </w:tc>
        <w:tc>
          <w:tcPr>
            <w:tcW w:w="1832" w:type="dxa"/>
            <w:gridSpan w:val="2"/>
            <w:shd w:val="clear" w:color="auto" w:fill="auto"/>
            <w:noWrap/>
            <w:vAlign w:val="center"/>
            <w:hideMark/>
          </w:tcPr>
          <w:p w:rsidR="007854F0" w:rsidRPr="00A91362" w:rsidRDefault="007854F0" w:rsidP="007854F0">
            <w:pPr>
              <w:spacing w:line="240" w:lineRule="auto"/>
              <w:jc w:val="right"/>
              <w:rPr>
                <w:sz w:val="22"/>
                <w:szCs w:val="22"/>
                <w:lang w:val="en-IN" w:eastAsia="en-IN"/>
              </w:rPr>
            </w:pPr>
            <w:r>
              <w:rPr>
                <w:sz w:val="22"/>
                <w:szCs w:val="22"/>
                <w:lang w:val="en-IN" w:eastAsia="en-IN"/>
              </w:rPr>
              <w:t>266.38</w:t>
            </w:r>
          </w:p>
        </w:tc>
      </w:tr>
      <w:tr w:rsidR="007854F0" w:rsidRPr="00A91362" w:rsidTr="002A2F33">
        <w:trPr>
          <w:trHeight w:val="300"/>
        </w:trPr>
        <w:tc>
          <w:tcPr>
            <w:tcW w:w="567" w:type="dxa"/>
            <w:shd w:val="clear" w:color="auto" w:fill="auto"/>
            <w:noWrap/>
            <w:vAlign w:val="center"/>
            <w:hideMark/>
          </w:tcPr>
          <w:p w:rsidR="007854F0" w:rsidRPr="00A91362" w:rsidRDefault="007854F0" w:rsidP="007854F0">
            <w:pPr>
              <w:spacing w:line="240" w:lineRule="auto"/>
              <w:jc w:val="center"/>
              <w:rPr>
                <w:sz w:val="22"/>
                <w:szCs w:val="22"/>
                <w:lang w:val="en-IN" w:eastAsia="en-IN"/>
              </w:rPr>
            </w:pPr>
            <w:r w:rsidRPr="00A91362">
              <w:rPr>
                <w:sz w:val="22"/>
                <w:szCs w:val="22"/>
                <w:lang w:val="en-IN" w:eastAsia="en-IN"/>
              </w:rPr>
              <w:t>4</w:t>
            </w:r>
          </w:p>
        </w:tc>
        <w:tc>
          <w:tcPr>
            <w:tcW w:w="1621" w:type="dxa"/>
            <w:shd w:val="clear" w:color="auto" w:fill="auto"/>
            <w:noWrap/>
            <w:vAlign w:val="center"/>
            <w:hideMark/>
          </w:tcPr>
          <w:p w:rsidR="007854F0" w:rsidRPr="00A91362" w:rsidRDefault="007854F0" w:rsidP="007854F0">
            <w:pPr>
              <w:spacing w:line="240" w:lineRule="auto"/>
              <w:jc w:val="left"/>
              <w:rPr>
                <w:sz w:val="22"/>
                <w:szCs w:val="22"/>
                <w:lang w:val="en-IN" w:eastAsia="en-IN"/>
              </w:rPr>
            </w:pPr>
            <w:r w:rsidRPr="00A91362">
              <w:rPr>
                <w:sz w:val="22"/>
                <w:szCs w:val="22"/>
                <w:lang w:val="en-IN" w:eastAsia="en-IN"/>
              </w:rPr>
              <w:t>RPO Purchase</w:t>
            </w:r>
          </w:p>
        </w:tc>
        <w:tc>
          <w:tcPr>
            <w:tcW w:w="714" w:type="dxa"/>
            <w:shd w:val="clear" w:color="auto" w:fill="auto"/>
            <w:noWrap/>
            <w:hideMark/>
          </w:tcPr>
          <w:p w:rsidR="007854F0" w:rsidRDefault="007854F0" w:rsidP="007854F0">
            <w:r w:rsidRPr="00914494">
              <w:rPr>
                <w:sz w:val="22"/>
                <w:szCs w:val="22"/>
                <w:lang w:val="en-IN" w:eastAsia="en-IN"/>
              </w:rPr>
              <w:t>MUs</w:t>
            </w:r>
          </w:p>
        </w:tc>
        <w:tc>
          <w:tcPr>
            <w:tcW w:w="1057" w:type="dxa"/>
            <w:shd w:val="clear" w:color="auto" w:fill="auto"/>
            <w:noWrap/>
            <w:vAlign w:val="bottom"/>
            <w:hideMark/>
          </w:tcPr>
          <w:p w:rsidR="007854F0" w:rsidRPr="00A91362" w:rsidRDefault="007854F0" w:rsidP="007854F0">
            <w:pPr>
              <w:spacing w:line="240" w:lineRule="auto"/>
              <w:jc w:val="right"/>
              <w:rPr>
                <w:sz w:val="22"/>
                <w:szCs w:val="22"/>
                <w:lang w:val="en-IN" w:eastAsia="en-IN"/>
              </w:rPr>
            </w:pPr>
            <w:r w:rsidRPr="00A91362">
              <w:rPr>
                <w:sz w:val="22"/>
                <w:szCs w:val="22"/>
                <w:lang w:val="en-IN" w:eastAsia="en-IN"/>
              </w:rPr>
              <w:t> </w:t>
            </w:r>
          </w:p>
        </w:tc>
        <w:tc>
          <w:tcPr>
            <w:tcW w:w="992" w:type="dxa"/>
            <w:shd w:val="clear" w:color="auto" w:fill="auto"/>
            <w:noWrap/>
            <w:vAlign w:val="bottom"/>
            <w:hideMark/>
          </w:tcPr>
          <w:p w:rsidR="007854F0" w:rsidRPr="00A91362" w:rsidRDefault="007854F0" w:rsidP="007854F0">
            <w:pPr>
              <w:spacing w:line="240" w:lineRule="auto"/>
              <w:jc w:val="right"/>
              <w:rPr>
                <w:sz w:val="22"/>
                <w:szCs w:val="22"/>
                <w:lang w:val="en-IN" w:eastAsia="en-IN"/>
              </w:rPr>
            </w:pPr>
            <w:r w:rsidRPr="00A91362">
              <w:rPr>
                <w:sz w:val="22"/>
                <w:szCs w:val="22"/>
                <w:lang w:val="en-IN" w:eastAsia="en-IN"/>
              </w:rPr>
              <w:t> </w:t>
            </w:r>
          </w:p>
        </w:tc>
        <w:tc>
          <w:tcPr>
            <w:tcW w:w="992" w:type="dxa"/>
            <w:shd w:val="clear" w:color="auto" w:fill="auto"/>
            <w:noWrap/>
            <w:vAlign w:val="bottom"/>
            <w:hideMark/>
          </w:tcPr>
          <w:p w:rsidR="007854F0" w:rsidRPr="00A91362" w:rsidRDefault="007854F0" w:rsidP="007854F0">
            <w:pPr>
              <w:spacing w:line="240" w:lineRule="auto"/>
              <w:jc w:val="right"/>
              <w:rPr>
                <w:sz w:val="22"/>
                <w:szCs w:val="22"/>
                <w:lang w:val="en-IN" w:eastAsia="en-IN"/>
              </w:rPr>
            </w:pPr>
            <w:r w:rsidRPr="00A91362">
              <w:rPr>
                <w:sz w:val="22"/>
                <w:szCs w:val="22"/>
                <w:lang w:val="en-IN" w:eastAsia="en-IN"/>
              </w:rPr>
              <w:t> </w:t>
            </w:r>
          </w:p>
        </w:tc>
        <w:tc>
          <w:tcPr>
            <w:tcW w:w="862" w:type="dxa"/>
            <w:shd w:val="clear" w:color="auto" w:fill="auto"/>
            <w:noWrap/>
            <w:vAlign w:val="bottom"/>
            <w:hideMark/>
          </w:tcPr>
          <w:p w:rsidR="007854F0" w:rsidRPr="00A91362" w:rsidRDefault="007854F0" w:rsidP="007854F0">
            <w:pPr>
              <w:spacing w:line="240" w:lineRule="auto"/>
              <w:jc w:val="right"/>
              <w:rPr>
                <w:sz w:val="22"/>
                <w:szCs w:val="22"/>
                <w:lang w:val="en-IN" w:eastAsia="en-IN"/>
              </w:rPr>
            </w:pPr>
            <w:r w:rsidRPr="00A91362">
              <w:rPr>
                <w:sz w:val="22"/>
                <w:szCs w:val="22"/>
                <w:lang w:val="en-IN" w:eastAsia="en-IN"/>
              </w:rPr>
              <w:t> </w:t>
            </w:r>
          </w:p>
        </w:tc>
        <w:tc>
          <w:tcPr>
            <w:tcW w:w="1134" w:type="dxa"/>
            <w:shd w:val="clear" w:color="auto" w:fill="auto"/>
            <w:noWrap/>
            <w:vAlign w:val="bottom"/>
            <w:hideMark/>
          </w:tcPr>
          <w:p w:rsidR="007854F0" w:rsidRPr="00A91362" w:rsidRDefault="007854F0" w:rsidP="007854F0">
            <w:pPr>
              <w:spacing w:line="240" w:lineRule="auto"/>
              <w:jc w:val="right"/>
              <w:rPr>
                <w:sz w:val="22"/>
                <w:szCs w:val="22"/>
                <w:lang w:val="en-IN" w:eastAsia="en-IN"/>
              </w:rPr>
            </w:pPr>
            <w:r w:rsidRPr="00A91362">
              <w:rPr>
                <w:sz w:val="22"/>
                <w:szCs w:val="22"/>
                <w:lang w:val="en-IN" w:eastAsia="en-IN"/>
              </w:rPr>
              <w:t> </w:t>
            </w:r>
          </w:p>
        </w:tc>
        <w:tc>
          <w:tcPr>
            <w:tcW w:w="862" w:type="dxa"/>
            <w:shd w:val="clear" w:color="auto" w:fill="auto"/>
            <w:noWrap/>
            <w:vAlign w:val="bottom"/>
            <w:hideMark/>
          </w:tcPr>
          <w:p w:rsidR="007854F0" w:rsidRPr="00A91362" w:rsidRDefault="007854F0" w:rsidP="007854F0">
            <w:pPr>
              <w:spacing w:line="240" w:lineRule="auto"/>
              <w:jc w:val="right"/>
              <w:rPr>
                <w:sz w:val="22"/>
                <w:szCs w:val="22"/>
                <w:lang w:val="en-IN" w:eastAsia="en-IN"/>
              </w:rPr>
            </w:pPr>
            <w:r w:rsidRPr="00A91362">
              <w:rPr>
                <w:sz w:val="22"/>
                <w:szCs w:val="22"/>
                <w:lang w:val="en-IN" w:eastAsia="en-IN"/>
              </w:rPr>
              <w:t> </w:t>
            </w:r>
          </w:p>
        </w:tc>
        <w:tc>
          <w:tcPr>
            <w:tcW w:w="981" w:type="dxa"/>
            <w:shd w:val="clear" w:color="auto" w:fill="auto"/>
            <w:noWrap/>
            <w:vAlign w:val="bottom"/>
            <w:hideMark/>
          </w:tcPr>
          <w:p w:rsidR="007854F0" w:rsidRPr="00A91362" w:rsidRDefault="007854F0" w:rsidP="007854F0">
            <w:pPr>
              <w:spacing w:line="240" w:lineRule="auto"/>
              <w:jc w:val="right"/>
              <w:rPr>
                <w:sz w:val="22"/>
                <w:szCs w:val="22"/>
                <w:lang w:val="en-IN" w:eastAsia="en-IN"/>
              </w:rPr>
            </w:pPr>
            <w:r w:rsidRPr="00A91362">
              <w:rPr>
                <w:sz w:val="22"/>
                <w:szCs w:val="22"/>
                <w:lang w:val="en-IN" w:eastAsia="en-IN"/>
              </w:rPr>
              <w:t> </w:t>
            </w:r>
          </w:p>
        </w:tc>
        <w:tc>
          <w:tcPr>
            <w:tcW w:w="851" w:type="dxa"/>
            <w:shd w:val="clear" w:color="auto" w:fill="auto"/>
            <w:noWrap/>
            <w:vAlign w:val="bottom"/>
            <w:hideMark/>
          </w:tcPr>
          <w:p w:rsidR="007854F0" w:rsidRPr="00A91362" w:rsidRDefault="007854F0" w:rsidP="007854F0">
            <w:pPr>
              <w:spacing w:line="240" w:lineRule="auto"/>
              <w:jc w:val="right"/>
              <w:rPr>
                <w:sz w:val="22"/>
                <w:szCs w:val="22"/>
                <w:lang w:val="en-IN" w:eastAsia="en-IN"/>
              </w:rPr>
            </w:pPr>
            <w:r w:rsidRPr="00A91362">
              <w:rPr>
                <w:sz w:val="22"/>
                <w:szCs w:val="22"/>
                <w:lang w:val="en-IN" w:eastAsia="en-IN"/>
              </w:rPr>
              <w:t> </w:t>
            </w:r>
          </w:p>
        </w:tc>
      </w:tr>
      <w:tr w:rsidR="007854F0" w:rsidRPr="00A91362" w:rsidTr="002A2F33">
        <w:trPr>
          <w:trHeight w:val="300"/>
        </w:trPr>
        <w:tc>
          <w:tcPr>
            <w:tcW w:w="567" w:type="dxa"/>
            <w:shd w:val="clear" w:color="auto" w:fill="auto"/>
            <w:noWrap/>
            <w:vAlign w:val="center"/>
            <w:hideMark/>
          </w:tcPr>
          <w:p w:rsidR="007854F0" w:rsidRPr="00A91362" w:rsidRDefault="007854F0" w:rsidP="007854F0">
            <w:pPr>
              <w:spacing w:line="240" w:lineRule="auto"/>
              <w:jc w:val="center"/>
              <w:rPr>
                <w:sz w:val="22"/>
                <w:szCs w:val="22"/>
                <w:lang w:val="en-IN" w:eastAsia="en-IN"/>
              </w:rPr>
            </w:pPr>
            <w:r w:rsidRPr="00A91362">
              <w:rPr>
                <w:sz w:val="22"/>
                <w:szCs w:val="22"/>
                <w:lang w:val="en-IN" w:eastAsia="en-IN"/>
              </w:rPr>
              <w:t> </w:t>
            </w:r>
          </w:p>
        </w:tc>
        <w:tc>
          <w:tcPr>
            <w:tcW w:w="1621" w:type="dxa"/>
            <w:shd w:val="clear" w:color="auto" w:fill="auto"/>
            <w:noWrap/>
            <w:vAlign w:val="center"/>
            <w:hideMark/>
          </w:tcPr>
          <w:p w:rsidR="007854F0" w:rsidRPr="00A91362" w:rsidRDefault="007854F0" w:rsidP="007854F0">
            <w:pPr>
              <w:spacing w:line="240" w:lineRule="auto"/>
              <w:jc w:val="left"/>
              <w:rPr>
                <w:sz w:val="22"/>
                <w:szCs w:val="22"/>
                <w:lang w:val="en-IN" w:eastAsia="en-IN"/>
              </w:rPr>
            </w:pPr>
            <w:r w:rsidRPr="00A91362">
              <w:rPr>
                <w:sz w:val="22"/>
                <w:szCs w:val="22"/>
                <w:lang w:val="en-IN" w:eastAsia="en-IN"/>
              </w:rPr>
              <w:t>- Solar</w:t>
            </w:r>
          </w:p>
        </w:tc>
        <w:tc>
          <w:tcPr>
            <w:tcW w:w="714" w:type="dxa"/>
            <w:shd w:val="clear" w:color="auto" w:fill="auto"/>
            <w:noWrap/>
            <w:hideMark/>
          </w:tcPr>
          <w:p w:rsidR="007854F0" w:rsidRDefault="007854F0" w:rsidP="007854F0">
            <w:r w:rsidRPr="00914494">
              <w:rPr>
                <w:sz w:val="22"/>
                <w:szCs w:val="22"/>
                <w:lang w:val="en-IN" w:eastAsia="en-IN"/>
              </w:rPr>
              <w:t>MUs</w:t>
            </w:r>
          </w:p>
        </w:tc>
        <w:tc>
          <w:tcPr>
            <w:tcW w:w="1057" w:type="dxa"/>
            <w:shd w:val="clear" w:color="auto" w:fill="auto"/>
            <w:noWrap/>
            <w:vAlign w:val="bottom"/>
            <w:hideMark/>
          </w:tcPr>
          <w:p w:rsidR="007854F0" w:rsidRPr="00A91362" w:rsidRDefault="007854F0" w:rsidP="007854F0">
            <w:pPr>
              <w:spacing w:line="240" w:lineRule="auto"/>
              <w:jc w:val="right"/>
              <w:rPr>
                <w:b/>
                <w:sz w:val="22"/>
                <w:szCs w:val="22"/>
                <w:lang w:val="en-IN" w:eastAsia="en-IN"/>
              </w:rPr>
            </w:pPr>
            <w:r w:rsidRPr="00BD6043">
              <w:rPr>
                <w:b/>
                <w:sz w:val="22"/>
                <w:szCs w:val="22"/>
                <w:lang w:val="en-IN" w:eastAsia="en-IN"/>
              </w:rPr>
              <w:t>0.00</w:t>
            </w:r>
          </w:p>
        </w:tc>
        <w:tc>
          <w:tcPr>
            <w:tcW w:w="992" w:type="dxa"/>
            <w:vMerge w:val="restart"/>
            <w:shd w:val="clear" w:color="auto" w:fill="auto"/>
            <w:noWrap/>
            <w:vAlign w:val="bottom"/>
            <w:hideMark/>
          </w:tcPr>
          <w:p w:rsidR="007854F0" w:rsidRPr="00A91362" w:rsidRDefault="007854F0" w:rsidP="007854F0">
            <w:pPr>
              <w:spacing w:line="240" w:lineRule="auto"/>
              <w:jc w:val="right"/>
              <w:rPr>
                <w:b/>
                <w:sz w:val="22"/>
                <w:szCs w:val="22"/>
                <w:lang w:val="en-IN" w:eastAsia="en-IN"/>
              </w:rPr>
            </w:pPr>
            <w:r>
              <w:rPr>
                <w:b/>
                <w:sz w:val="22"/>
                <w:szCs w:val="22"/>
                <w:lang w:val="en-IN" w:eastAsia="en-IN"/>
              </w:rPr>
              <w:t>237.95</w:t>
            </w:r>
          </w:p>
        </w:tc>
        <w:tc>
          <w:tcPr>
            <w:tcW w:w="992" w:type="dxa"/>
            <w:shd w:val="clear" w:color="auto" w:fill="auto"/>
            <w:noWrap/>
            <w:vAlign w:val="bottom"/>
            <w:hideMark/>
          </w:tcPr>
          <w:p w:rsidR="007854F0" w:rsidRPr="00A91362" w:rsidRDefault="007854F0" w:rsidP="007854F0">
            <w:pPr>
              <w:spacing w:line="240" w:lineRule="auto"/>
              <w:jc w:val="right"/>
              <w:rPr>
                <w:b/>
                <w:sz w:val="22"/>
                <w:szCs w:val="22"/>
                <w:lang w:val="en-IN" w:eastAsia="en-IN"/>
              </w:rPr>
            </w:pPr>
            <w:r>
              <w:rPr>
                <w:b/>
                <w:sz w:val="22"/>
                <w:szCs w:val="22"/>
                <w:lang w:val="en-IN" w:eastAsia="en-IN"/>
              </w:rPr>
              <w:t>71.61</w:t>
            </w:r>
          </w:p>
        </w:tc>
        <w:tc>
          <w:tcPr>
            <w:tcW w:w="862" w:type="dxa"/>
            <w:vMerge w:val="restart"/>
            <w:shd w:val="clear" w:color="auto" w:fill="auto"/>
            <w:noWrap/>
            <w:vAlign w:val="bottom"/>
            <w:hideMark/>
          </w:tcPr>
          <w:p w:rsidR="007854F0" w:rsidRPr="00A91362" w:rsidRDefault="007854F0" w:rsidP="007854F0">
            <w:pPr>
              <w:spacing w:line="240" w:lineRule="auto"/>
              <w:jc w:val="right"/>
              <w:rPr>
                <w:b/>
                <w:sz w:val="22"/>
                <w:szCs w:val="22"/>
                <w:lang w:val="en-IN" w:eastAsia="en-IN"/>
              </w:rPr>
            </w:pPr>
            <w:r>
              <w:rPr>
                <w:b/>
                <w:sz w:val="22"/>
                <w:szCs w:val="22"/>
                <w:lang w:val="en-IN" w:eastAsia="en-IN"/>
              </w:rPr>
              <w:t>342.72</w:t>
            </w:r>
          </w:p>
        </w:tc>
        <w:tc>
          <w:tcPr>
            <w:tcW w:w="1134" w:type="dxa"/>
            <w:shd w:val="clear" w:color="auto" w:fill="auto"/>
            <w:noWrap/>
            <w:vAlign w:val="bottom"/>
            <w:hideMark/>
          </w:tcPr>
          <w:p w:rsidR="007854F0" w:rsidRPr="00A91362" w:rsidRDefault="007854F0" w:rsidP="007854F0">
            <w:pPr>
              <w:spacing w:line="240" w:lineRule="auto"/>
              <w:jc w:val="right"/>
              <w:rPr>
                <w:b/>
                <w:sz w:val="22"/>
                <w:szCs w:val="22"/>
                <w:lang w:val="en-IN" w:eastAsia="en-IN"/>
              </w:rPr>
            </w:pPr>
            <w:r>
              <w:rPr>
                <w:b/>
                <w:sz w:val="22"/>
                <w:szCs w:val="22"/>
                <w:lang w:val="en-IN" w:eastAsia="en-IN"/>
              </w:rPr>
              <w:t>69.50</w:t>
            </w:r>
          </w:p>
        </w:tc>
        <w:tc>
          <w:tcPr>
            <w:tcW w:w="862" w:type="dxa"/>
            <w:vMerge w:val="restart"/>
            <w:shd w:val="clear" w:color="auto" w:fill="auto"/>
            <w:noWrap/>
            <w:vAlign w:val="bottom"/>
            <w:hideMark/>
          </w:tcPr>
          <w:p w:rsidR="007854F0" w:rsidRPr="00A91362" w:rsidRDefault="007854F0" w:rsidP="007854F0">
            <w:pPr>
              <w:spacing w:line="240" w:lineRule="auto"/>
              <w:jc w:val="right"/>
              <w:rPr>
                <w:b/>
                <w:sz w:val="22"/>
                <w:szCs w:val="22"/>
                <w:lang w:val="en-IN" w:eastAsia="en-IN"/>
              </w:rPr>
            </w:pPr>
            <w:r>
              <w:rPr>
                <w:b/>
                <w:sz w:val="22"/>
                <w:szCs w:val="22"/>
                <w:lang w:val="en-IN" w:eastAsia="en-IN"/>
              </w:rPr>
              <w:t>331.28</w:t>
            </w:r>
          </w:p>
        </w:tc>
        <w:tc>
          <w:tcPr>
            <w:tcW w:w="981" w:type="dxa"/>
            <w:shd w:val="clear" w:color="auto" w:fill="auto"/>
            <w:noWrap/>
            <w:vAlign w:val="bottom"/>
            <w:hideMark/>
          </w:tcPr>
          <w:p w:rsidR="007854F0" w:rsidRPr="00A91362" w:rsidRDefault="007854F0" w:rsidP="007854F0">
            <w:pPr>
              <w:spacing w:line="240" w:lineRule="auto"/>
              <w:jc w:val="right"/>
              <w:rPr>
                <w:b/>
                <w:sz w:val="22"/>
                <w:szCs w:val="22"/>
                <w:lang w:val="en-IN" w:eastAsia="en-IN"/>
              </w:rPr>
            </w:pPr>
            <w:r>
              <w:rPr>
                <w:b/>
                <w:sz w:val="22"/>
                <w:szCs w:val="22"/>
                <w:lang w:val="en-IN" w:eastAsia="en-IN"/>
              </w:rPr>
              <w:t>100.00</w:t>
            </w:r>
          </w:p>
        </w:tc>
        <w:tc>
          <w:tcPr>
            <w:tcW w:w="851" w:type="dxa"/>
            <w:vMerge w:val="restart"/>
            <w:shd w:val="clear" w:color="auto" w:fill="auto"/>
            <w:noWrap/>
            <w:vAlign w:val="bottom"/>
            <w:hideMark/>
          </w:tcPr>
          <w:p w:rsidR="007854F0" w:rsidRPr="00A91362" w:rsidRDefault="007854F0" w:rsidP="007854F0">
            <w:pPr>
              <w:spacing w:line="240" w:lineRule="auto"/>
              <w:jc w:val="right"/>
              <w:rPr>
                <w:b/>
                <w:sz w:val="22"/>
                <w:szCs w:val="22"/>
                <w:lang w:val="en-IN" w:eastAsia="en-IN"/>
              </w:rPr>
            </w:pPr>
            <w:r>
              <w:rPr>
                <w:b/>
                <w:sz w:val="22"/>
                <w:szCs w:val="22"/>
                <w:lang w:val="en-IN" w:eastAsia="en-IN"/>
              </w:rPr>
              <w:t>304.48</w:t>
            </w:r>
          </w:p>
        </w:tc>
      </w:tr>
      <w:tr w:rsidR="007854F0" w:rsidRPr="00A91362" w:rsidTr="002A2F33">
        <w:trPr>
          <w:trHeight w:val="300"/>
        </w:trPr>
        <w:tc>
          <w:tcPr>
            <w:tcW w:w="567" w:type="dxa"/>
            <w:shd w:val="clear" w:color="auto" w:fill="auto"/>
            <w:noWrap/>
            <w:vAlign w:val="center"/>
            <w:hideMark/>
          </w:tcPr>
          <w:p w:rsidR="007854F0" w:rsidRPr="00A91362" w:rsidRDefault="007854F0" w:rsidP="007854F0">
            <w:pPr>
              <w:spacing w:line="240" w:lineRule="auto"/>
              <w:jc w:val="center"/>
              <w:rPr>
                <w:sz w:val="22"/>
                <w:szCs w:val="22"/>
                <w:lang w:val="en-IN" w:eastAsia="en-IN"/>
              </w:rPr>
            </w:pPr>
            <w:r w:rsidRPr="00A91362">
              <w:rPr>
                <w:sz w:val="22"/>
                <w:szCs w:val="22"/>
                <w:lang w:val="en-IN" w:eastAsia="en-IN"/>
              </w:rPr>
              <w:t> </w:t>
            </w:r>
          </w:p>
        </w:tc>
        <w:tc>
          <w:tcPr>
            <w:tcW w:w="1621" w:type="dxa"/>
            <w:shd w:val="clear" w:color="auto" w:fill="auto"/>
            <w:noWrap/>
            <w:vAlign w:val="center"/>
            <w:hideMark/>
          </w:tcPr>
          <w:p w:rsidR="007854F0" w:rsidRPr="00A91362" w:rsidRDefault="007854F0" w:rsidP="007854F0">
            <w:pPr>
              <w:spacing w:line="240" w:lineRule="auto"/>
              <w:jc w:val="left"/>
              <w:rPr>
                <w:sz w:val="22"/>
                <w:szCs w:val="22"/>
                <w:lang w:val="en-IN" w:eastAsia="en-IN"/>
              </w:rPr>
            </w:pPr>
            <w:r w:rsidRPr="00A91362">
              <w:rPr>
                <w:sz w:val="22"/>
                <w:szCs w:val="22"/>
                <w:lang w:val="en-IN" w:eastAsia="en-IN"/>
              </w:rPr>
              <w:t>- Non Solar</w:t>
            </w:r>
          </w:p>
        </w:tc>
        <w:tc>
          <w:tcPr>
            <w:tcW w:w="714" w:type="dxa"/>
            <w:shd w:val="clear" w:color="auto" w:fill="auto"/>
            <w:noWrap/>
            <w:hideMark/>
          </w:tcPr>
          <w:p w:rsidR="007854F0" w:rsidRDefault="007854F0" w:rsidP="007854F0">
            <w:r w:rsidRPr="00914494">
              <w:rPr>
                <w:sz w:val="22"/>
                <w:szCs w:val="22"/>
                <w:lang w:val="en-IN" w:eastAsia="en-IN"/>
              </w:rPr>
              <w:t>MUs</w:t>
            </w:r>
          </w:p>
        </w:tc>
        <w:tc>
          <w:tcPr>
            <w:tcW w:w="1057" w:type="dxa"/>
            <w:shd w:val="clear" w:color="auto" w:fill="auto"/>
            <w:noWrap/>
            <w:vAlign w:val="bottom"/>
            <w:hideMark/>
          </w:tcPr>
          <w:p w:rsidR="007854F0" w:rsidRPr="00A91362" w:rsidRDefault="007854F0" w:rsidP="007854F0">
            <w:pPr>
              <w:spacing w:line="240" w:lineRule="auto"/>
              <w:jc w:val="right"/>
              <w:rPr>
                <w:b/>
                <w:sz w:val="22"/>
                <w:szCs w:val="22"/>
                <w:lang w:val="en-IN" w:eastAsia="en-IN"/>
              </w:rPr>
            </w:pPr>
            <w:r w:rsidRPr="00BD6043">
              <w:rPr>
                <w:b/>
                <w:sz w:val="22"/>
                <w:szCs w:val="22"/>
                <w:lang w:val="en-IN" w:eastAsia="en-IN"/>
              </w:rPr>
              <w:t>0.00</w:t>
            </w:r>
          </w:p>
        </w:tc>
        <w:tc>
          <w:tcPr>
            <w:tcW w:w="992" w:type="dxa"/>
            <w:vMerge/>
            <w:shd w:val="clear" w:color="auto" w:fill="auto"/>
            <w:noWrap/>
            <w:vAlign w:val="bottom"/>
            <w:hideMark/>
          </w:tcPr>
          <w:p w:rsidR="007854F0" w:rsidRPr="00A91362" w:rsidRDefault="007854F0" w:rsidP="007854F0">
            <w:pPr>
              <w:spacing w:line="240" w:lineRule="auto"/>
              <w:jc w:val="center"/>
              <w:rPr>
                <w:b/>
                <w:sz w:val="22"/>
                <w:szCs w:val="22"/>
                <w:lang w:val="en-IN" w:eastAsia="en-IN"/>
              </w:rPr>
            </w:pPr>
          </w:p>
        </w:tc>
        <w:tc>
          <w:tcPr>
            <w:tcW w:w="992" w:type="dxa"/>
            <w:shd w:val="clear" w:color="auto" w:fill="auto"/>
            <w:noWrap/>
            <w:vAlign w:val="bottom"/>
            <w:hideMark/>
          </w:tcPr>
          <w:p w:rsidR="007854F0" w:rsidRPr="00A91362" w:rsidRDefault="007854F0" w:rsidP="007854F0">
            <w:pPr>
              <w:spacing w:line="240" w:lineRule="auto"/>
              <w:jc w:val="center"/>
              <w:rPr>
                <w:b/>
                <w:sz w:val="22"/>
                <w:szCs w:val="22"/>
                <w:lang w:val="en-IN" w:eastAsia="en-IN"/>
              </w:rPr>
            </w:pPr>
            <w:r w:rsidRPr="00BD6043">
              <w:rPr>
                <w:b/>
                <w:sz w:val="22"/>
                <w:szCs w:val="22"/>
                <w:lang w:val="en-IN" w:eastAsia="en-IN"/>
              </w:rPr>
              <w:t>0.00</w:t>
            </w:r>
          </w:p>
        </w:tc>
        <w:tc>
          <w:tcPr>
            <w:tcW w:w="862" w:type="dxa"/>
            <w:vMerge/>
            <w:shd w:val="clear" w:color="auto" w:fill="auto"/>
            <w:noWrap/>
            <w:vAlign w:val="bottom"/>
            <w:hideMark/>
          </w:tcPr>
          <w:p w:rsidR="007854F0" w:rsidRPr="00A91362" w:rsidRDefault="007854F0" w:rsidP="007854F0">
            <w:pPr>
              <w:spacing w:line="240" w:lineRule="auto"/>
              <w:jc w:val="center"/>
              <w:rPr>
                <w:b/>
                <w:sz w:val="22"/>
                <w:szCs w:val="22"/>
                <w:lang w:val="en-IN" w:eastAsia="en-IN"/>
              </w:rPr>
            </w:pPr>
          </w:p>
        </w:tc>
        <w:tc>
          <w:tcPr>
            <w:tcW w:w="1134" w:type="dxa"/>
            <w:shd w:val="clear" w:color="auto" w:fill="auto"/>
            <w:noWrap/>
            <w:vAlign w:val="bottom"/>
            <w:hideMark/>
          </w:tcPr>
          <w:p w:rsidR="007854F0" w:rsidRPr="00A91362" w:rsidRDefault="007854F0" w:rsidP="007854F0">
            <w:pPr>
              <w:spacing w:line="240" w:lineRule="auto"/>
              <w:jc w:val="center"/>
              <w:rPr>
                <w:b/>
                <w:sz w:val="22"/>
                <w:szCs w:val="22"/>
                <w:lang w:val="en-IN" w:eastAsia="en-IN"/>
              </w:rPr>
            </w:pPr>
            <w:r w:rsidRPr="00A91362">
              <w:rPr>
                <w:b/>
                <w:sz w:val="22"/>
                <w:szCs w:val="22"/>
                <w:lang w:val="en-IN" w:eastAsia="en-IN"/>
              </w:rPr>
              <w:t>0.00</w:t>
            </w:r>
          </w:p>
        </w:tc>
        <w:tc>
          <w:tcPr>
            <w:tcW w:w="862" w:type="dxa"/>
            <w:vMerge/>
            <w:shd w:val="clear" w:color="auto" w:fill="auto"/>
            <w:noWrap/>
            <w:vAlign w:val="bottom"/>
            <w:hideMark/>
          </w:tcPr>
          <w:p w:rsidR="007854F0" w:rsidRPr="00A91362" w:rsidRDefault="007854F0" w:rsidP="007854F0">
            <w:pPr>
              <w:spacing w:line="240" w:lineRule="auto"/>
              <w:jc w:val="center"/>
              <w:rPr>
                <w:b/>
                <w:sz w:val="22"/>
                <w:szCs w:val="22"/>
                <w:lang w:val="en-IN" w:eastAsia="en-IN"/>
              </w:rPr>
            </w:pPr>
          </w:p>
        </w:tc>
        <w:tc>
          <w:tcPr>
            <w:tcW w:w="981" w:type="dxa"/>
            <w:shd w:val="clear" w:color="auto" w:fill="auto"/>
            <w:noWrap/>
            <w:vAlign w:val="bottom"/>
            <w:hideMark/>
          </w:tcPr>
          <w:p w:rsidR="007854F0" w:rsidRPr="00A91362" w:rsidRDefault="007854F0" w:rsidP="007854F0">
            <w:pPr>
              <w:spacing w:line="240" w:lineRule="auto"/>
              <w:jc w:val="center"/>
              <w:rPr>
                <w:b/>
                <w:sz w:val="22"/>
                <w:szCs w:val="22"/>
                <w:lang w:val="en-IN" w:eastAsia="en-IN"/>
              </w:rPr>
            </w:pPr>
            <w:r>
              <w:rPr>
                <w:b/>
                <w:sz w:val="22"/>
                <w:szCs w:val="22"/>
                <w:lang w:val="en-IN" w:eastAsia="en-IN"/>
              </w:rPr>
              <w:t>98.69</w:t>
            </w:r>
          </w:p>
        </w:tc>
        <w:tc>
          <w:tcPr>
            <w:tcW w:w="851" w:type="dxa"/>
            <w:vMerge/>
            <w:shd w:val="clear" w:color="auto" w:fill="auto"/>
            <w:noWrap/>
            <w:vAlign w:val="bottom"/>
            <w:hideMark/>
          </w:tcPr>
          <w:p w:rsidR="007854F0" w:rsidRPr="00A91362" w:rsidRDefault="007854F0" w:rsidP="007854F0">
            <w:pPr>
              <w:spacing w:line="240" w:lineRule="auto"/>
              <w:jc w:val="center"/>
              <w:rPr>
                <w:b/>
                <w:sz w:val="22"/>
                <w:szCs w:val="22"/>
                <w:lang w:val="en-IN" w:eastAsia="en-IN"/>
              </w:rPr>
            </w:pPr>
          </w:p>
        </w:tc>
      </w:tr>
    </w:tbl>
    <w:p w:rsidR="00A91362" w:rsidRPr="00A91362" w:rsidRDefault="00A91362" w:rsidP="00A91362">
      <w:pPr>
        <w:ind w:left="-426"/>
        <w:jc w:val="center"/>
      </w:pPr>
    </w:p>
    <w:p w:rsidR="00E3731D" w:rsidRDefault="002A328E">
      <w:pPr>
        <w:pStyle w:val="ED-H3"/>
      </w:pPr>
      <w:r>
        <w:t xml:space="preserve">It is submitted that PED will consider </w:t>
      </w:r>
      <w:r w:rsidR="00D41727">
        <w:t>opting</w:t>
      </w:r>
      <w:r>
        <w:t xml:space="preserve"> all the options available to meet the RPO by way of procuring power from renewable sources, tying up with the renewable generators or buying REC. </w:t>
      </w:r>
    </w:p>
    <w:p w:rsidR="002D648E" w:rsidRPr="002D648E" w:rsidRDefault="002D648E" w:rsidP="002D648E">
      <w:pPr>
        <w:pStyle w:val="EDNormal"/>
        <w:rPr>
          <w:lang w:val="en-IN" w:bidi="hi-IN"/>
        </w:rPr>
      </w:pPr>
    </w:p>
    <w:p w:rsidR="00E3731D" w:rsidRDefault="00E3731D">
      <w:pPr>
        <w:pStyle w:val="ED-H3"/>
      </w:pPr>
      <w:r>
        <w:t>For the purpose of the business plan, it is considered that for FY 2018-19 and FY 2019-20 t</w:t>
      </w:r>
      <w:r w:rsidR="001B56E3" w:rsidRPr="00502DD3">
        <w:t xml:space="preserve">he petitioner </w:t>
      </w:r>
      <w:r>
        <w:t xml:space="preserve">will fulfil the RPO </w:t>
      </w:r>
      <w:r w:rsidRPr="00502DD3">
        <w:t>obligation through the purchase of REC certificates</w:t>
      </w:r>
      <w:r>
        <w:t>. For FY 2020-21 and FY 2021-22, the petitioner has planned to buy physical power of 124.24 MU and 244.91 MU respectively and the remaining from the REC certificates.</w:t>
      </w:r>
    </w:p>
    <w:p w:rsidR="002D648E" w:rsidRPr="002D648E" w:rsidRDefault="002D648E" w:rsidP="002D648E">
      <w:pPr>
        <w:pStyle w:val="EDNormal"/>
        <w:rPr>
          <w:lang w:val="en-IN" w:bidi="hi-IN"/>
        </w:rPr>
      </w:pPr>
    </w:p>
    <w:p w:rsidR="00E3731D" w:rsidRDefault="00E3731D">
      <w:pPr>
        <w:pStyle w:val="ED-H3"/>
      </w:pPr>
      <w:r>
        <w:t>Looking at the current market conditions and decreasing trend of RE power, t</w:t>
      </w:r>
      <w:r w:rsidR="001B56E3" w:rsidRPr="00502DD3">
        <w:t>h</w:t>
      </w:r>
      <w:r>
        <w:t xml:space="preserve">e petitioner has considered the rate of physical solar and wind@ Rs. 3/unit. Further, the </w:t>
      </w:r>
      <w:r w:rsidR="0041288F">
        <w:t xml:space="preserve">floor price of Rs. 1000/unit (plus 12% GST) for both solar and non-solar RECs. i.e. </w:t>
      </w:r>
      <w:r w:rsidR="0041288F">
        <w:lastRenderedPageBreak/>
        <w:t>Rs. 1.12</w:t>
      </w:r>
      <w:r>
        <w:t xml:space="preserve">/unit </w:t>
      </w:r>
      <w:r w:rsidR="0041288F">
        <w:t>for the Control period.</w:t>
      </w:r>
    </w:p>
    <w:p w:rsidR="002D648E" w:rsidRPr="002D648E" w:rsidRDefault="002D648E" w:rsidP="002D648E">
      <w:pPr>
        <w:pStyle w:val="EDNormal"/>
        <w:rPr>
          <w:lang w:val="en-IN" w:bidi="hi-IN"/>
        </w:rPr>
      </w:pPr>
    </w:p>
    <w:p w:rsidR="00337C5E" w:rsidRDefault="001B56E3">
      <w:pPr>
        <w:pStyle w:val="ED-H3"/>
      </w:pPr>
      <w:r w:rsidRPr="000E77AB">
        <w:t>The RPO compliance cost for the control period is shown below.</w:t>
      </w:r>
    </w:p>
    <w:p w:rsidR="002D648E" w:rsidRDefault="002D648E" w:rsidP="00061AA6">
      <w:pPr>
        <w:pStyle w:val="Caption"/>
      </w:pPr>
    </w:p>
    <w:p w:rsidR="00337C5E" w:rsidRDefault="0083206A" w:rsidP="00061AA6">
      <w:pPr>
        <w:pStyle w:val="Caption"/>
        <w:rPr>
          <w:rFonts w:cs="Arial"/>
          <w:lang w:bidi="hi-IN"/>
        </w:rPr>
      </w:pPr>
      <w:bookmarkStart w:id="119" w:name="_Toc523719579"/>
      <w:r>
        <w:t xml:space="preserve">Table </w:t>
      </w:r>
      <w:r w:rsidR="00140E1B">
        <w:fldChar w:fldCharType="begin"/>
      </w:r>
      <w:r w:rsidR="00C94F42">
        <w:instrText xml:space="preserve"> SEQ Table \* ARABIC </w:instrText>
      </w:r>
      <w:r w:rsidR="00140E1B">
        <w:fldChar w:fldCharType="separate"/>
      </w:r>
      <w:r w:rsidR="004B7EE5">
        <w:rPr>
          <w:noProof/>
        </w:rPr>
        <w:t>20</w:t>
      </w:r>
      <w:r w:rsidR="00140E1B">
        <w:rPr>
          <w:noProof/>
        </w:rPr>
        <w:fldChar w:fldCharType="end"/>
      </w:r>
      <w:r w:rsidR="001B56E3">
        <w:t>: RPO Compliance Cost</w:t>
      </w:r>
      <w:bookmarkEnd w:id="1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5"/>
        <w:gridCol w:w="1274"/>
        <w:gridCol w:w="854"/>
        <w:gridCol w:w="854"/>
        <w:gridCol w:w="854"/>
        <w:gridCol w:w="1274"/>
        <w:gridCol w:w="749"/>
        <w:gridCol w:w="749"/>
        <w:gridCol w:w="852"/>
      </w:tblGrid>
      <w:tr w:rsidR="002D648E" w:rsidRPr="002D648E" w:rsidTr="0041288F">
        <w:trPr>
          <w:trHeight w:val="300"/>
        </w:trPr>
        <w:tc>
          <w:tcPr>
            <w:tcW w:w="965" w:type="pct"/>
            <w:vMerge w:val="restart"/>
            <w:shd w:val="clear" w:color="000000" w:fill="ACB9CA"/>
            <w:vAlign w:val="center"/>
            <w:hideMark/>
          </w:tcPr>
          <w:p w:rsidR="002D648E" w:rsidRPr="002D648E" w:rsidRDefault="002D648E" w:rsidP="002D648E">
            <w:pPr>
              <w:spacing w:line="240" w:lineRule="auto"/>
              <w:jc w:val="center"/>
              <w:rPr>
                <w:b/>
                <w:bCs/>
                <w:sz w:val="22"/>
                <w:szCs w:val="22"/>
                <w:lang w:val="en-IN" w:eastAsia="en-IN"/>
              </w:rPr>
            </w:pPr>
            <w:r w:rsidRPr="002D648E">
              <w:rPr>
                <w:b/>
                <w:bCs/>
                <w:sz w:val="22"/>
                <w:szCs w:val="22"/>
                <w:lang w:val="en-IN" w:eastAsia="en-IN"/>
              </w:rPr>
              <w:t>Source</w:t>
            </w:r>
          </w:p>
        </w:tc>
        <w:tc>
          <w:tcPr>
            <w:tcW w:w="2075" w:type="pct"/>
            <w:gridSpan w:val="4"/>
            <w:shd w:val="clear" w:color="000000" w:fill="ACB9CA"/>
            <w:vAlign w:val="center"/>
            <w:hideMark/>
          </w:tcPr>
          <w:p w:rsidR="002D648E" w:rsidRPr="002D648E" w:rsidRDefault="002D648E" w:rsidP="002D648E">
            <w:pPr>
              <w:spacing w:line="240" w:lineRule="auto"/>
              <w:jc w:val="center"/>
              <w:rPr>
                <w:b/>
                <w:bCs/>
                <w:sz w:val="22"/>
                <w:szCs w:val="22"/>
                <w:lang w:val="en-IN" w:eastAsia="en-IN"/>
              </w:rPr>
            </w:pPr>
            <w:r w:rsidRPr="002D648E">
              <w:rPr>
                <w:b/>
                <w:bCs/>
                <w:sz w:val="22"/>
                <w:szCs w:val="22"/>
                <w:lang w:val="en-IN" w:eastAsia="en-IN"/>
              </w:rPr>
              <w:t>Power Purchase (MUs)</w:t>
            </w:r>
          </w:p>
        </w:tc>
        <w:tc>
          <w:tcPr>
            <w:tcW w:w="1961" w:type="pct"/>
            <w:gridSpan w:val="4"/>
            <w:shd w:val="clear" w:color="000000" w:fill="ACB9CA"/>
            <w:vAlign w:val="center"/>
            <w:hideMark/>
          </w:tcPr>
          <w:p w:rsidR="002D648E" w:rsidRPr="002D648E" w:rsidRDefault="002D648E" w:rsidP="002D648E">
            <w:pPr>
              <w:spacing w:line="240" w:lineRule="auto"/>
              <w:jc w:val="center"/>
              <w:rPr>
                <w:b/>
                <w:bCs/>
                <w:sz w:val="22"/>
                <w:szCs w:val="22"/>
                <w:lang w:val="en-IN" w:eastAsia="en-IN"/>
              </w:rPr>
            </w:pPr>
            <w:r w:rsidRPr="002D648E">
              <w:rPr>
                <w:b/>
                <w:bCs/>
                <w:sz w:val="22"/>
                <w:szCs w:val="22"/>
                <w:lang w:val="en-IN" w:eastAsia="en-IN"/>
              </w:rPr>
              <w:t>Total Power Purchase Cost - (Rs.Cr)</w:t>
            </w:r>
          </w:p>
        </w:tc>
      </w:tr>
      <w:tr w:rsidR="002D648E" w:rsidRPr="002D648E" w:rsidTr="0041288F">
        <w:trPr>
          <w:trHeight w:val="900"/>
        </w:trPr>
        <w:tc>
          <w:tcPr>
            <w:tcW w:w="965" w:type="pct"/>
            <w:vMerge/>
            <w:vAlign w:val="center"/>
            <w:hideMark/>
          </w:tcPr>
          <w:p w:rsidR="002D648E" w:rsidRPr="002D648E" w:rsidRDefault="002D648E" w:rsidP="002D648E">
            <w:pPr>
              <w:spacing w:line="240" w:lineRule="auto"/>
              <w:jc w:val="left"/>
              <w:rPr>
                <w:b/>
                <w:bCs/>
                <w:sz w:val="22"/>
                <w:szCs w:val="22"/>
                <w:lang w:val="en-IN" w:eastAsia="en-IN"/>
              </w:rPr>
            </w:pPr>
          </w:p>
        </w:tc>
        <w:tc>
          <w:tcPr>
            <w:tcW w:w="689" w:type="pct"/>
            <w:shd w:val="clear" w:color="000000" w:fill="ACB9CA"/>
            <w:vAlign w:val="center"/>
            <w:hideMark/>
          </w:tcPr>
          <w:p w:rsidR="002D648E" w:rsidRPr="002D648E" w:rsidRDefault="002D648E" w:rsidP="002D648E">
            <w:pPr>
              <w:spacing w:line="240" w:lineRule="auto"/>
              <w:jc w:val="left"/>
              <w:rPr>
                <w:b/>
                <w:bCs/>
                <w:sz w:val="22"/>
                <w:szCs w:val="22"/>
                <w:lang w:val="en-IN" w:eastAsia="en-IN"/>
              </w:rPr>
            </w:pPr>
            <w:r w:rsidRPr="002D648E">
              <w:rPr>
                <w:b/>
                <w:bCs/>
                <w:sz w:val="22"/>
                <w:szCs w:val="22"/>
                <w:lang w:val="en-IN" w:eastAsia="en-IN"/>
              </w:rPr>
              <w:t>Base Year Projections</w:t>
            </w:r>
          </w:p>
        </w:tc>
        <w:tc>
          <w:tcPr>
            <w:tcW w:w="1385" w:type="pct"/>
            <w:gridSpan w:val="3"/>
            <w:shd w:val="clear" w:color="000000" w:fill="ACB9CA"/>
            <w:vAlign w:val="center"/>
            <w:hideMark/>
          </w:tcPr>
          <w:p w:rsidR="002D648E" w:rsidRPr="002D648E" w:rsidRDefault="002D648E" w:rsidP="002D648E">
            <w:pPr>
              <w:spacing w:line="240" w:lineRule="auto"/>
              <w:jc w:val="center"/>
              <w:rPr>
                <w:b/>
                <w:bCs/>
                <w:sz w:val="22"/>
                <w:szCs w:val="22"/>
                <w:lang w:val="en-IN" w:eastAsia="en-IN"/>
              </w:rPr>
            </w:pPr>
            <w:r w:rsidRPr="002D648E">
              <w:rPr>
                <w:b/>
                <w:bCs/>
                <w:sz w:val="22"/>
                <w:szCs w:val="22"/>
                <w:lang w:val="en-IN" w:eastAsia="en-IN"/>
              </w:rPr>
              <w:t>Projections</w:t>
            </w:r>
          </w:p>
        </w:tc>
        <w:tc>
          <w:tcPr>
            <w:tcW w:w="689" w:type="pct"/>
            <w:shd w:val="clear" w:color="000000" w:fill="ACB9CA"/>
            <w:vAlign w:val="center"/>
            <w:hideMark/>
          </w:tcPr>
          <w:p w:rsidR="002D648E" w:rsidRPr="002D648E" w:rsidRDefault="002D648E" w:rsidP="002D648E">
            <w:pPr>
              <w:spacing w:line="240" w:lineRule="auto"/>
              <w:jc w:val="left"/>
              <w:rPr>
                <w:b/>
                <w:bCs/>
                <w:sz w:val="22"/>
                <w:szCs w:val="22"/>
                <w:lang w:val="en-IN" w:eastAsia="en-IN"/>
              </w:rPr>
            </w:pPr>
            <w:r w:rsidRPr="002D648E">
              <w:rPr>
                <w:b/>
                <w:bCs/>
                <w:sz w:val="22"/>
                <w:szCs w:val="22"/>
                <w:lang w:val="en-IN" w:eastAsia="en-IN"/>
              </w:rPr>
              <w:t>Base Year Projections</w:t>
            </w:r>
          </w:p>
        </w:tc>
        <w:tc>
          <w:tcPr>
            <w:tcW w:w="1272" w:type="pct"/>
            <w:gridSpan w:val="3"/>
            <w:shd w:val="clear" w:color="000000" w:fill="ACB9CA"/>
            <w:vAlign w:val="center"/>
            <w:hideMark/>
          </w:tcPr>
          <w:p w:rsidR="002D648E" w:rsidRPr="002D648E" w:rsidRDefault="002D648E" w:rsidP="002D648E">
            <w:pPr>
              <w:spacing w:line="240" w:lineRule="auto"/>
              <w:jc w:val="center"/>
              <w:rPr>
                <w:b/>
                <w:bCs/>
                <w:sz w:val="22"/>
                <w:szCs w:val="22"/>
                <w:lang w:val="en-IN" w:eastAsia="en-IN"/>
              </w:rPr>
            </w:pPr>
            <w:r w:rsidRPr="002D648E">
              <w:rPr>
                <w:b/>
                <w:bCs/>
                <w:sz w:val="22"/>
                <w:szCs w:val="22"/>
                <w:lang w:val="en-IN" w:eastAsia="en-IN"/>
              </w:rPr>
              <w:t>Projections</w:t>
            </w:r>
          </w:p>
        </w:tc>
      </w:tr>
      <w:tr w:rsidR="002D648E" w:rsidRPr="002D648E" w:rsidTr="0041288F">
        <w:trPr>
          <w:trHeight w:val="300"/>
        </w:trPr>
        <w:tc>
          <w:tcPr>
            <w:tcW w:w="965" w:type="pct"/>
            <w:vMerge/>
            <w:vAlign w:val="center"/>
            <w:hideMark/>
          </w:tcPr>
          <w:p w:rsidR="002D648E" w:rsidRPr="002D648E" w:rsidRDefault="002D648E" w:rsidP="002D648E">
            <w:pPr>
              <w:spacing w:line="240" w:lineRule="auto"/>
              <w:jc w:val="left"/>
              <w:rPr>
                <w:b/>
                <w:bCs/>
                <w:sz w:val="22"/>
                <w:szCs w:val="22"/>
                <w:lang w:val="en-IN" w:eastAsia="en-IN"/>
              </w:rPr>
            </w:pPr>
          </w:p>
        </w:tc>
        <w:tc>
          <w:tcPr>
            <w:tcW w:w="689" w:type="pct"/>
            <w:shd w:val="clear" w:color="000000" w:fill="ACB9CA"/>
            <w:vAlign w:val="center"/>
            <w:hideMark/>
          </w:tcPr>
          <w:p w:rsidR="002D648E" w:rsidRPr="002D648E" w:rsidRDefault="002D648E" w:rsidP="002D648E">
            <w:pPr>
              <w:spacing w:line="240" w:lineRule="auto"/>
              <w:jc w:val="center"/>
              <w:rPr>
                <w:b/>
                <w:bCs/>
                <w:sz w:val="22"/>
                <w:szCs w:val="22"/>
                <w:lang w:val="en-IN" w:eastAsia="en-IN"/>
              </w:rPr>
            </w:pPr>
            <w:r w:rsidRPr="002D648E">
              <w:rPr>
                <w:b/>
                <w:bCs/>
                <w:sz w:val="22"/>
                <w:szCs w:val="22"/>
                <w:lang w:val="en-IN" w:eastAsia="en-IN"/>
              </w:rPr>
              <w:t>2018-19</w:t>
            </w:r>
          </w:p>
        </w:tc>
        <w:tc>
          <w:tcPr>
            <w:tcW w:w="462" w:type="pct"/>
            <w:shd w:val="clear" w:color="000000" w:fill="ACB9CA"/>
            <w:vAlign w:val="center"/>
            <w:hideMark/>
          </w:tcPr>
          <w:p w:rsidR="002D648E" w:rsidRPr="002D648E" w:rsidRDefault="002D648E" w:rsidP="002D648E">
            <w:pPr>
              <w:spacing w:line="240" w:lineRule="auto"/>
              <w:jc w:val="center"/>
              <w:rPr>
                <w:b/>
                <w:bCs/>
                <w:sz w:val="22"/>
                <w:szCs w:val="22"/>
                <w:lang w:val="en-IN" w:eastAsia="en-IN"/>
              </w:rPr>
            </w:pPr>
            <w:r w:rsidRPr="002D648E">
              <w:rPr>
                <w:b/>
                <w:bCs/>
                <w:sz w:val="22"/>
                <w:szCs w:val="22"/>
                <w:lang w:val="en-IN" w:eastAsia="en-IN"/>
              </w:rPr>
              <w:t>2019-20</w:t>
            </w:r>
          </w:p>
        </w:tc>
        <w:tc>
          <w:tcPr>
            <w:tcW w:w="462" w:type="pct"/>
            <w:shd w:val="clear" w:color="000000" w:fill="ACB9CA"/>
            <w:vAlign w:val="center"/>
            <w:hideMark/>
          </w:tcPr>
          <w:p w:rsidR="002D648E" w:rsidRPr="002D648E" w:rsidRDefault="002D648E" w:rsidP="002D648E">
            <w:pPr>
              <w:spacing w:line="240" w:lineRule="auto"/>
              <w:jc w:val="center"/>
              <w:rPr>
                <w:b/>
                <w:bCs/>
                <w:sz w:val="22"/>
                <w:szCs w:val="22"/>
                <w:lang w:val="en-IN" w:eastAsia="en-IN"/>
              </w:rPr>
            </w:pPr>
            <w:r w:rsidRPr="002D648E">
              <w:rPr>
                <w:b/>
                <w:bCs/>
                <w:sz w:val="22"/>
                <w:szCs w:val="22"/>
                <w:lang w:val="en-IN" w:eastAsia="en-IN"/>
              </w:rPr>
              <w:t>2020-21</w:t>
            </w:r>
          </w:p>
        </w:tc>
        <w:tc>
          <w:tcPr>
            <w:tcW w:w="462" w:type="pct"/>
            <w:shd w:val="clear" w:color="000000" w:fill="ACB9CA"/>
            <w:vAlign w:val="center"/>
            <w:hideMark/>
          </w:tcPr>
          <w:p w:rsidR="002D648E" w:rsidRPr="002D648E" w:rsidRDefault="002D648E" w:rsidP="002D648E">
            <w:pPr>
              <w:spacing w:line="240" w:lineRule="auto"/>
              <w:jc w:val="center"/>
              <w:rPr>
                <w:b/>
                <w:bCs/>
                <w:sz w:val="22"/>
                <w:szCs w:val="22"/>
                <w:lang w:val="en-IN" w:eastAsia="en-IN"/>
              </w:rPr>
            </w:pPr>
            <w:r w:rsidRPr="002D648E">
              <w:rPr>
                <w:b/>
                <w:bCs/>
                <w:sz w:val="22"/>
                <w:szCs w:val="22"/>
                <w:lang w:val="en-IN" w:eastAsia="en-IN"/>
              </w:rPr>
              <w:t>2021-22</w:t>
            </w:r>
          </w:p>
        </w:tc>
        <w:tc>
          <w:tcPr>
            <w:tcW w:w="689" w:type="pct"/>
            <w:shd w:val="clear" w:color="000000" w:fill="ACB9CA"/>
            <w:vAlign w:val="center"/>
            <w:hideMark/>
          </w:tcPr>
          <w:p w:rsidR="002D648E" w:rsidRPr="002D648E" w:rsidRDefault="002D648E" w:rsidP="002D648E">
            <w:pPr>
              <w:spacing w:line="240" w:lineRule="auto"/>
              <w:jc w:val="center"/>
              <w:rPr>
                <w:b/>
                <w:bCs/>
                <w:sz w:val="22"/>
                <w:szCs w:val="22"/>
                <w:lang w:val="en-IN" w:eastAsia="en-IN"/>
              </w:rPr>
            </w:pPr>
            <w:r w:rsidRPr="002D648E">
              <w:rPr>
                <w:b/>
                <w:bCs/>
                <w:sz w:val="22"/>
                <w:szCs w:val="22"/>
                <w:lang w:val="en-IN" w:eastAsia="en-IN"/>
              </w:rPr>
              <w:t>2018-19</w:t>
            </w:r>
          </w:p>
        </w:tc>
        <w:tc>
          <w:tcPr>
            <w:tcW w:w="405" w:type="pct"/>
            <w:shd w:val="clear" w:color="000000" w:fill="ACB9CA"/>
            <w:vAlign w:val="center"/>
            <w:hideMark/>
          </w:tcPr>
          <w:p w:rsidR="002D648E" w:rsidRPr="002D648E" w:rsidRDefault="002D648E" w:rsidP="002D648E">
            <w:pPr>
              <w:spacing w:line="240" w:lineRule="auto"/>
              <w:jc w:val="center"/>
              <w:rPr>
                <w:b/>
                <w:bCs/>
                <w:sz w:val="22"/>
                <w:szCs w:val="22"/>
                <w:lang w:val="en-IN" w:eastAsia="en-IN"/>
              </w:rPr>
            </w:pPr>
            <w:r w:rsidRPr="002D648E">
              <w:rPr>
                <w:b/>
                <w:bCs/>
                <w:sz w:val="22"/>
                <w:szCs w:val="22"/>
                <w:lang w:val="en-IN" w:eastAsia="en-IN"/>
              </w:rPr>
              <w:t>2019-20</w:t>
            </w:r>
          </w:p>
        </w:tc>
        <w:tc>
          <w:tcPr>
            <w:tcW w:w="405" w:type="pct"/>
            <w:shd w:val="clear" w:color="000000" w:fill="ACB9CA"/>
            <w:vAlign w:val="center"/>
            <w:hideMark/>
          </w:tcPr>
          <w:p w:rsidR="002D648E" w:rsidRPr="002D648E" w:rsidRDefault="002D648E" w:rsidP="002D648E">
            <w:pPr>
              <w:spacing w:line="240" w:lineRule="auto"/>
              <w:jc w:val="center"/>
              <w:rPr>
                <w:b/>
                <w:bCs/>
                <w:sz w:val="22"/>
                <w:szCs w:val="22"/>
                <w:lang w:val="en-IN" w:eastAsia="en-IN"/>
              </w:rPr>
            </w:pPr>
            <w:r w:rsidRPr="002D648E">
              <w:rPr>
                <w:b/>
                <w:bCs/>
                <w:sz w:val="22"/>
                <w:szCs w:val="22"/>
                <w:lang w:val="en-IN" w:eastAsia="en-IN"/>
              </w:rPr>
              <w:t>2020-21</w:t>
            </w:r>
          </w:p>
        </w:tc>
        <w:tc>
          <w:tcPr>
            <w:tcW w:w="461" w:type="pct"/>
            <w:shd w:val="clear" w:color="000000" w:fill="ACB9CA"/>
            <w:vAlign w:val="center"/>
            <w:hideMark/>
          </w:tcPr>
          <w:p w:rsidR="002D648E" w:rsidRPr="002D648E" w:rsidRDefault="002D648E" w:rsidP="002D648E">
            <w:pPr>
              <w:spacing w:line="240" w:lineRule="auto"/>
              <w:jc w:val="center"/>
              <w:rPr>
                <w:b/>
                <w:bCs/>
                <w:sz w:val="22"/>
                <w:szCs w:val="22"/>
                <w:lang w:val="en-IN" w:eastAsia="en-IN"/>
              </w:rPr>
            </w:pPr>
            <w:r w:rsidRPr="002D648E">
              <w:rPr>
                <w:b/>
                <w:bCs/>
                <w:sz w:val="22"/>
                <w:szCs w:val="22"/>
                <w:lang w:val="en-IN" w:eastAsia="en-IN"/>
              </w:rPr>
              <w:t>2021-22</w:t>
            </w:r>
          </w:p>
        </w:tc>
      </w:tr>
      <w:tr w:rsidR="0041288F" w:rsidRPr="002D648E" w:rsidTr="0041288F">
        <w:trPr>
          <w:trHeight w:val="300"/>
        </w:trPr>
        <w:tc>
          <w:tcPr>
            <w:tcW w:w="965" w:type="pct"/>
            <w:shd w:val="clear" w:color="auto" w:fill="auto"/>
            <w:noWrap/>
            <w:vAlign w:val="center"/>
            <w:hideMark/>
          </w:tcPr>
          <w:p w:rsidR="0041288F" w:rsidRPr="002D648E" w:rsidRDefault="0041288F" w:rsidP="0041288F">
            <w:pPr>
              <w:spacing w:line="240" w:lineRule="auto"/>
              <w:jc w:val="center"/>
              <w:rPr>
                <w:sz w:val="22"/>
                <w:szCs w:val="22"/>
                <w:lang w:val="en-IN" w:eastAsia="en-IN"/>
              </w:rPr>
            </w:pPr>
            <w:r w:rsidRPr="002D648E">
              <w:rPr>
                <w:sz w:val="22"/>
                <w:szCs w:val="22"/>
                <w:lang w:val="en-IN" w:eastAsia="en-IN"/>
              </w:rPr>
              <w:t>Solar</w:t>
            </w:r>
          </w:p>
        </w:tc>
        <w:tc>
          <w:tcPr>
            <w:tcW w:w="689" w:type="pct"/>
            <w:shd w:val="clear" w:color="auto" w:fill="auto"/>
            <w:vAlign w:val="center"/>
            <w:hideMark/>
          </w:tcPr>
          <w:p w:rsidR="0041288F" w:rsidRPr="002D648E" w:rsidRDefault="0041288F" w:rsidP="00735CAB">
            <w:pPr>
              <w:spacing w:line="240" w:lineRule="auto"/>
              <w:jc w:val="right"/>
              <w:rPr>
                <w:sz w:val="22"/>
                <w:szCs w:val="22"/>
                <w:lang w:val="en-IN" w:eastAsia="en-IN"/>
              </w:rPr>
            </w:pPr>
            <w:r w:rsidRPr="002D648E">
              <w:rPr>
                <w:sz w:val="22"/>
                <w:szCs w:val="22"/>
                <w:lang w:val="en-IN" w:eastAsia="en-IN"/>
              </w:rPr>
              <w:t>-</w:t>
            </w:r>
          </w:p>
        </w:tc>
        <w:tc>
          <w:tcPr>
            <w:tcW w:w="462" w:type="pct"/>
            <w:shd w:val="clear" w:color="auto" w:fill="auto"/>
            <w:vAlign w:val="center"/>
            <w:hideMark/>
          </w:tcPr>
          <w:p w:rsidR="0041288F" w:rsidRDefault="0041288F" w:rsidP="00735CAB">
            <w:pPr>
              <w:spacing w:line="240" w:lineRule="auto"/>
              <w:jc w:val="right"/>
              <w:rPr>
                <w:sz w:val="22"/>
                <w:szCs w:val="22"/>
                <w:lang w:val="en-IN"/>
              </w:rPr>
            </w:pPr>
            <w:r>
              <w:rPr>
                <w:sz w:val="22"/>
                <w:szCs w:val="22"/>
              </w:rPr>
              <w:t>71.61</w:t>
            </w:r>
          </w:p>
        </w:tc>
        <w:tc>
          <w:tcPr>
            <w:tcW w:w="462" w:type="pct"/>
            <w:shd w:val="clear" w:color="auto" w:fill="auto"/>
            <w:vAlign w:val="center"/>
            <w:hideMark/>
          </w:tcPr>
          <w:p w:rsidR="0041288F" w:rsidRDefault="0041288F" w:rsidP="00735CAB">
            <w:pPr>
              <w:jc w:val="right"/>
              <w:rPr>
                <w:sz w:val="22"/>
                <w:szCs w:val="22"/>
              </w:rPr>
            </w:pPr>
            <w:r>
              <w:rPr>
                <w:sz w:val="22"/>
                <w:szCs w:val="22"/>
              </w:rPr>
              <w:t>69.50</w:t>
            </w:r>
          </w:p>
        </w:tc>
        <w:tc>
          <w:tcPr>
            <w:tcW w:w="462" w:type="pct"/>
            <w:shd w:val="clear" w:color="auto" w:fill="auto"/>
            <w:vAlign w:val="center"/>
            <w:hideMark/>
          </w:tcPr>
          <w:p w:rsidR="0041288F" w:rsidRDefault="0041288F" w:rsidP="00735CAB">
            <w:pPr>
              <w:jc w:val="right"/>
              <w:rPr>
                <w:sz w:val="22"/>
                <w:szCs w:val="22"/>
              </w:rPr>
            </w:pPr>
            <w:r>
              <w:rPr>
                <w:sz w:val="22"/>
                <w:szCs w:val="22"/>
              </w:rPr>
              <w:t>100.00</w:t>
            </w:r>
          </w:p>
        </w:tc>
        <w:tc>
          <w:tcPr>
            <w:tcW w:w="689" w:type="pct"/>
            <w:shd w:val="clear" w:color="auto" w:fill="auto"/>
            <w:vAlign w:val="center"/>
            <w:hideMark/>
          </w:tcPr>
          <w:p w:rsidR="0041288F" w:rsidRPr="0041288F" w:rsidRDefault="0041288F" w:rsidP="00735CAB">
            <w:pPr>
              <w:spacing w:line="240" w:lineRule="auto"/>
              <w:jc w:val="right"/>
              <w:rPr>
                <w:sz w:val="22"/>
                <w:szCs w:val="22"/>
                <w:lang w:val="en-IN" w:eastAsia="en-IN"/>
              </w:rPr>
            </w:pPr>
            <w:r w:rsidRPr="0041288F">
              <w:rPr>
                <w:sz w:val="22"/>
                <w:szCs w:val="22"/>
                <w:lang w:val="en-IN" w:eastAsia="en-IN"/>
              </w:rPr>
              <w:t>-</w:t>
            </w:r>
          </w:p>
        </w:tc>
        <w:tc>
          <w:tcPr>
            <w:tcW w:w="405" w:type="pct"/>
            <w:shd w:val="clear" w:color="auto" w:fill="auto"/>
            <w:vAlign w:val="center"/>
            <w:hideMark/>
          </w:tcPr>
          <w:p w:rsidR="0041288F" w:rsidRPr="0041288F" w:rsidRDefault="0041288F" w:rsidP="00735CAB">
            <w:pPr>
              <w:spacing w:line="240" w:lineRule="auto"/>
              <w:jc w:val="right"/>
              <w:rPr>
                <w:sz w:val="22"/>
                <w:szCs w:val="22"/>
                <w:lang w:val="en-IN" w:eastAsia="en-IN"/>
              </w:rPr>
            </w:pPr>
            <w:r w:rsidRPr="0041288F">
              <w:rPr>
                <w:sz w:val="22"/>
                <w:szCs w:val="22"/>
                <w:lang w:val="en-IN" w:eastAsia="en-IN"/>
              </w:rPr>
              <w:t>21.48</w:t>
            </w:r>
          </w:p>
        </w:tc>
        <w:tc>
          <w:tcPr>
            <w:tcW w:w="405" w:type="pct"/>
            <w:shd w:val="clear" w:color="auto" w:fill="auto"/>
            <w:vAlign w:val="center"/>
            <w:hideMark/>
          </w:tcPr>
          <w:p w:rsidR="0041288F" w:rsidRPr="0041288F" w:rsidRDefault="0041288F" w:rsidP="00735CAB">
            <w:pPr>
              <w:spacing w:line="240" w:lineRule="auto"/>
              <w:jc w:val="right"/>
              <w:rPr>
                <w:sz w:val="22"/>
                <w:szCs w:val="22"/>
                <w:lang w:val="en-IN" w:eastAsia="en-IN"/>
              </w:rPr>
            </w:pPr>
            <w:r w:rsidRPr="0041288F">
              <w:rPr>
                <w:sz w:val="22"/>
                <w:szCs w:val="22"/>
                <w:lang w:val="en-IN" w:eastAsia="en-IN"/>
              </w:rPr>
              <w:t>20.85</w:t>
            </w:r>
          </w:p>
        </w:tc>
        <w:tc>
          <w:tcPr>
            <w:tcW w:w="461" w:type="pct"/>
            <w:shd w:val="clear" w:color="auto" w:fill="auto"/>
            <w:vAlign w:val="center"/>
            <w:hideMark/>
          </w:tcPr>
          <w:p w:rsidR="0041288F" w:rsidRPr="0041288F" w:rsidRDefault="0041288F" w:rsidP="00735CAB">
            <w:pPr>
              <w:spacing w:line="240" w:lineRule="auto"/>
              <w:jc w:val="right"/>
              <w:rPr>
                <w:sz w:val="22"/>
                <w:szCs w:val="22"/>
                <w:lang w:val="en-IN" w:eastAsia="en-IN"/>
              </w:rPr>
            </w:pPr>
            <w:r w:rsidRPr="0041288F">
              <w:rPr>
                <w:sz w:val="22"/>
                <w:szCs w:val="22"/>
                <w:lang w:val="en-IN" w:eastAsia="en-IN"/>
              </w:rPr>
              <w:t>30.00</w:t>
            </w:r>
          </w:p>
        </w:tc>
      </w:tr>
      <w:tr w:rsidR="0041288F" w:rsidRPr="002D648E" w:rsidTr="0041288F">
        <w:trPr>
          <w:trHeight w:val="300"/>
        </w:trPr>
        <w:tc>
          <w:tcPr>
            <w:tcW w:w="965" w:type="pct"/>
            <w:shd w:val="clear" w:color="auto" w:fill="auto"/>
            <w:noWrap/>
            <w:vAlign w:val="center"/>
            <w:hideMark/>
          </w:tcPr>
          <w:p w:rsidR="0041288F" w:rsidRPr="002D648E" w:rsidRDefault="0041288F" w:rsidP="0041288F">
            <w:pPr>
              <w:spacing w:line="240" w:lineRule="auto"/>
              <w:jc w:val="center"/>
              <w:rPr>
                <w:sz w:val="22"/>
                <w:szCs w:val="22"/>
                <w:lang w:val="en-IN" w:eastAsia="en-IN"/>
              </w:rPr>
            </w:pPr>
            <w:r w:rsidRPr="002D648E">
              <w:rPr>
                <w:sz w:val="22"/>
                <w:szCs w:val="22"/>
                <w:lang w:val="en-IN" w:eastAsia="en-IN"/>
              </w:rPr>
              <w:t>Non-Solar</w:t>
            </w:r>
          </w:p>
        </w:tc>
        <w:tc>
          <w:tcPr>
            <w:tcW w:w="689" w:type="pct"/>
            <w:shd w:val="clear" w:color="auto" w:fill="auto"/>
            <w:vAlign w:val="center"/>
            <w:hideMark/>
          </w:tcPr>
          <w:p w:rsidR="0041288F" w:rsidRPr="002D648E" w:rsidRDefault="0041288F" w:rsidP="00735CAB">
            <w:pPr>
              <w:spacing w:line="240" w:lineRule="auto"/>
              <w:jc w:val="right"/>
              <w:rPr>
                <w:sz w:val="22"/>
                <w:szCs w:val="22"/>
                <w:lang w:val="en-IN" w:eastAsia="en-IN"/>
              </w:rPr>
            </w:pPr>
            <w:r w:rsidRPr="002D648E">
              <w:rPr>
                <w:sz w:val="22"/>
                <w:szCs w:val="22"/>
                <w:lang w:val="en-IN" w:eastAsia="en-IN"/>
              </w:rPr>
              <w:t>-</w:t>
            </w:r>
          </w:p>
        </w:tc>
        <w:tc>
          <w:tcPr>
            <w:tcW w:w="462" w:type="pct"/>
            <w:shd w:val="clear" w:color="auto" w:fill="auto"/>
            <w:vAlign w:val="center"/>
            <w:hideMark/>
          </w:tcPr>
          <w:p w:rsidR="0041288F" w:rsidRDefault="0041288F" w:rsidP="00735CAB">
            <w:pPr>
              <w:jc w:val="right"/>
              <w:rPr>
                <w:sz w:val="22"/>
                <w:szCs w:val="22"/>
              </w:rPr>
            </w:pPr>
          </w:p>
        </w:tc>
        <w:tc>
          <w:tcPr>
            <w:tcW w:w="462" w:type="pct"/>
            <w:shd w:val="clear" w:color="auto" w:fill="auto"/>
            <w:vAlign w:val="center"/>
            <w:hideMark/>
          </w:tcPr>
          <w:p w:rsidR="0041288F" w:rsidRDefault="0041288F" w:rsidP="00735CAB">
            <w:pPr>
              <w:jc w:val="right"/>
              <w:rPr>
                <w:sz w:val="22"/>
                <w:szCs w:val="22"/>
              </w:rPr>
            </w:pPr>
          </w:p>
        </w:tc>
        <w:tc>
          <w:tcPr>
            <w:tcW w:w="462" w:type="pct"/>
            <w:shd w:val="clear" w:color="auto" w:fill="auto"/>
            <w:vAlign w:val="center"/>
            <w:hideMark/>
          </w:tcPr>
          <w:p w:rsidR="0041288F" w:rsidRDefault="0041288F" w:rsidP="00735CAB">
            <w:pPr>
              <w:jc w:val="right"/>
              <w:rPr>
                <w:sz w:val="22"/>
                <w:szCs w:val="22"/>
              </w:rPr>
            </w:pPr>
            <w:r>
              <w:rPr>
                <w:sz w:val="22"/>
                <w:szCs w:val="22"/>
              </w:rPr>
              <w:t>98.69</w:t>
            </w:r>
          </w:p>
        </w:tc>
        <w:tc>
          <w:tcPr>
            <w:tcW w:w="689" w:type="pct"/>
            <w:shd w:val="clear" w:color="auto" w:fill="auto"/>
            <w:vAlign w:val="center"/>
            <w:hideMark/>
          </w:tcPr>
          <w:p w:rsidR="0041288F" w:rsidRPr="0041288F" w:rsidRDefault="0041288F" w:rsidP="00735CAB">
            <w:pPr>
              <w:spacing w:line="240" w:lineRule="auto"/>
              <w:jc w:val="right"/>
              <w:rPr>
                <w:sz w:val="22"/>
                <w:szCs w:val="22"/>
                <w:lang w:val="en-IN" w:eastAsia="en-IN"/>
              </w:rPr>
            </w:pPr>
            <w:r w:rsidRPr="0041288F">
              <w:rPr>
                <w:sz w:val="22"/>
                <w:szCs w:val="22"/>
                <w:lang w:val="en-IN" w:eastAsia="en-IN"/>
              </w:rPr>
              <w:t>-</w:t>
            </w:r>
          </w:p>
        </w:tc>
        <w:tc>
          <w:tcPr>
            <w:tcW w:w="405" w:type="pct"/>
            <w:shd w:val="clear" w:color="auto" w:fill="auto"/>
            <w:vAlign w:val="center"/>
            <w:hideMark/>
          </w:tcPr>
          <w:p w:rsidR="0041288F" w:rsidRPr="0041288F" w:rsidRDefault="0041288F" w:rsidP="00735CAB">
            <w:pPr>
              <w:spacing w:line="240" w:lineRule="auto"/>
              <w:jc w:val="right"/>
              <w:rPr>
                <w:sz w:val="22"/>
                <w:szCs w:val="22"/>
                <w:lang w:val="en-IN" w:eastAsia="en-IN"/>
              </w:rPr>
            </w:pPr>
            <w:r w:rsidRPr="0041288F">
              <w:rPr>
                <w:sz w:val="22"/>
                <w:szCs w:val="22"/>
                <w:lang w:val="en-IN" w:eastAsia="en-IN"/>
              </w:rPr>
              <w:t>-</w:t>
            </w:r>
          </w:p>
        </w:tc>
        <w:tc>
          <w:tcPr>
            <w:tcW w:w="405" w:type="pct"/>
            <w:shd w:val="clear" w:color="auto" w:fill="auto"/>
            <w:vAlign w:val="center"/>
            <w:hideMark/>
          </w:tcPr>
          <w:p w:rsidR="0041288F" w:rsidRPr="0041288F" w:rsidRDefault="0041288F" w:rsidP="00735CAB">
            <w:pPr>
              <w:spacing w:line="240" w:lineRule="auto"/>
              <w:jc w:val="right"/>
              <w:rPr>
                <w:sz w:val="22"/>
                <w:szCs w:val="22"/>
                <w:lang w:val="en-IN" w:eastAsia="en-IN"/>
              </w:rPr>
            </w:pPr>
            <w:r w:rsidRPr="0041288F">
              <w:rPr>
                <w:sz w:val="22"/>
                <w:szCs w:val="22"/>
                <w:lang w:val="en-IN" w:eastAsia="en-IN"/>
              </w:rPr>
              <w:t>-</w:t>
            </w:r>
          </w:p>
        </w:tc>
        <w:tc>
          <w:tcPr>
            <w:tcW w:w="461" w:type="pct"/>
            <w:shd w:val="clear" w:color="auto" w:fill="auto"/>
            <w:vAlign w:val="center"/>
            <w:hideMark/>
          </w:tcPr>
          <w:p w:rsidR="0041288F" w:rsidRPr="0041288F" w:rsidRDefault="0041288F" w:rsidP="00735CAB">
            <w:pPr>
              <w:spacing w:line="240" w:lineRule="auto"/>
              <w:jc w:val="right"/>
              <w:rPr>
                <w:sz w:val="22"/>
                <w:szCs w:val="22"/>
                <w:lang w:val="en-IN" w:eastAsia="en-IN"/>
              </w:rPr>
            </w:pPr>
            <w:r w:rsidRPr="0041288F">
              <w:rPr>
                <w:sz w:val="22"/>
                <w:szCs w:val="22"/>
                <w:lang w:val="en-IN" w:eastAsia="en-IN"/>
              </w:rPr>
              <w:t>29.61</w:t>
            </w:r>
          </w:p>
        </w:tc>
      </w:tr>
      <w:tr w:rsidR="0041288F" w:rsidRPr="002D648E" w:rsidTr="0041288F">
        <w:trPr>
          <w:trHeight w:val="300"/>
        </w:trPr>
        <w:tc>
          <w:tcPr>
            <w:tcW w:w="965" w:type="pct"/>
            <w:shd w:val="clear" w:color="auto" w:fill="auto"/>
            <w:noWrap/>
            <w:vAlign w:val="center"/>
            <w:hideMark/>
          </w:tcPr>
          <w:p w:rsidR="0041288F" w:rsidRPr="002D648E" w:rsidRDefault="0041288F" w:rsidP="0041288F">
            <w:pPr>
              <w:spacing w:line="240" w:lineRule="auto"/>
              <w:jc w:val="center"/>
              <w:rPr>
                <w:sz w:val="22"/>
                <w:szCs w:val="22"/>
                <w:lang w:val="en-IN" w:eastAsia="en-IN"/>
              </w:rPr>
            </w:pPr>
            <w:r w:rsidRPr="002D648E">
              <w:rPr>
                <w:sz w:val="22"/>
                <w:szCs w:val="22"/>
                <w:lang w:val="en-IN" w:eastAsia="en-IN"/>
              </w:rPr>
              <w:t>RECs</w:t>
            </w:r>
          </w:p>
        </w:tc>
        <w:tc>
          <w:tcPr>
            <w:tcW w:w="689" w:type="pct"/>
            <w:shd w:val="clear" w:color="auto" w:fill="auto"/>
            <w:vAlign w:val="center"/>
            <w:hideMark/>
          </w:tcPr>
          <w:p w:rsidR="0041288F" w:rsidRPr="00A91362" w:rsidRDefault="0041288F" w:rsidP="00735CAB">
            <w:pPr>
              <w:spacing w:line="240" w:lineRule="auto"/>
              <w:jc w:val="right"/>
              <w:rPr>
                <w:bCs/>
                <w:sz w:val="22"/>
                <w:szCs w:val="22"/>
                <w:lang w:val="en-IN" w:eastAsia="en-IN"/>
              </w:rPr>
            </w:pPr>
            <w:r>
              <w:rPr>
                <w:bCs/>
                <w:sz w:val="22"/>
                <w:szCs w:val="22"/>
                <w:lang w:val="en-IN" w:eastAsia="en-IN"/>
              </w:rPr>
              <w:t>237.95</w:t>
            </w:r>
          </w:p>
        </w:tc>
        <w:tc>
          <w:tcPr>
            <w:tcW w:w="462" w:type="pct"/>
            <w:shd w:val="clear" w:color="auto" w:fill="auto"/>
            <w:vAlign w:val="center"/>
            <w:hideMark/>
          </w:tcPr>
          <w:p w:rsidR="0041288F" w:rsidRPr="00A91362" w:rsidRDefault="0041288F" w:rsidP="00735CAB">
            <w:pPr>
              <w:spacing w:line="240" w:lineRule="auto"/>
              <w:jc w:val="right"/>
              <w:rPr>
                <w:bCs/>
                <w:sz w:val="22"/>
                <w:szCs w:val="22"/>
                <w:lang w:val="en-IN" w:eastAsia="en-IN"/>
              </w:rPr>
            </w:pPr>
            <w:r>
              <w:rPr>
                <w:bCs/>
                <w:sz w:val="22"/>
                <w:szCs w:val="22"/>
                <w:lang w:val="en-IN" w:eastAsia="en-IN"/>
              </w:rPr>
              <w:t>242.72</w:t>
            </w:r>
          </w:p>
        </w:tc>
        <w:tc>
          <w:tcPr>
            <w:tcW w:w="462" w:type="pct"/>
            <w:shd w:val="clear" w:color="auto" w:fill="auto"/>
            <w:vAlign w:val="center"/>
            <w:hideMark/>
          </w:tcPr>
          <w:p w:rsidR="0041288F" w:rsidRPr="002D648E" w:rsidRDefault="0041288F" w:rsidP="00735CAB">
            <w:pPr>
              <w:spacing w:line="240" w:lineRule="auto"/>
              <w:jc w:val="right"/>
              <w:rPr>
                <w:sz w:val="22"/>
                <w:szCs w:val="22"/>
                <w:lang w:val="en-IN" w:eastAsia="en-IN"/>
              </w:rPr>
            </w:pPr>
            <w:r>
              <w:rPr>
                <w:sz w:val="22"/>
                <w:szCs w:val="22"/>
                <w:lang w:val="en-IN" w:eastAsia="en-IN"/>
              </w:rPr>
              <w:t>331.28</w:t>
            </w:r>
          </w:p>
        </w:tc>
        <w:tc>
          <w:tcPr>
            <w:tcW w:w="462" w:type="pct"/>
            <w:shd w:val="clear" w:color="auto" w:fill="auto"/>
            <w:vAlign w:val="center"/>
            <w:hideMark/>
          </w:tcPr>
          <w:p w:rsidR="0041288F" w:rsidRPr="002D648E" w:rsidRDefault="0041288F" w:rsidP="00735CAB">
            <w:pPr>
              <w:spacing w:line="240" w:lineRule="auto"/>
              <w:jc w:val="right"/>
              <w:rPr>
                <w:sz w:val="22"/>
                <w:szCs w:val="22"/>
                <w:lang w:val="en-IN" w:eastAsia="en-IN"/>
              </w:rPr>
            </w:pPr>
            <w:r>
              <w:rPr>
                <w:sz w:val="22"/>
                <w:szCs w:val="22"/>
                <w:lang w:val="en-IN" w:eastAsia="en-IN"/>
              </w:rPr>
              <w:t>304.48</w:t>
            </w:r>
          </w:p>
        </w:tc>
        <w:tc>
          <w:tcPr>
            <w:tcW w:w="689" w:type="pct"/>
            <w:shd w:val="clear" w:color="auto" w:fill="auto"/>
            <w:vAlign w:val="center"/>
            <w:hideMark/>
          </w:tcPr>
          <w:p w:rsidR="0041288F" w:rsidRPr="0041288F" w:rsidRDefault="0041288F" w:rsidP="00735CAB">
            <w:pPr>
              <w:spacing w:line="240" w:lineRule="auto"/>
              <w:jc w:val="right"/>
              <w:rPr>
                <w:sz w:val="22"/>
                <w:szCs w:val="22"/>
                <w:lang w:val="en-IN" w:eastAsia="en-IN"/>
              </w:rPr>
            </w:pPr>
            <w:r w:rsidRPr="0041288F">
              <w:rPr>
                <w:sz w:val="22"/>
                <w:szCs w:val="22"/>
                <w:lang w:val="en-IN" w:eastAsia="en-IN"/>
              </w:rPr>
              <w:t>26.65</w:t>
            </w:r>
          </w:p>
        </w:tc>
        <w:tc>
          <w:tcPr>
            <w:tcW w:w="405" w:type="pct"/>
            <w:shd w:val="clear" w:color="auto" w:fill="auto"/>
            <w:vAlign w:val="center"/>
            <w:hideMark/>
          </w:tcPr>
          <w:p w:rsidR="0041288F" w:rsidRPr="0041288F" w:rsidRDefault="0041288F" w:rsidP="00735CAB">
            <w:pPr>
              <w:spacing w:line="240" w:lineRule="auto"/>
              <w:jc w:val="right"/>
              <w:rPr>
                <w:sz w:val="22"/>
                <w:szCs w:val="22"/>
                <w:lang w:val="en-IN" w:eastAsia="en-IN"/>
              </w:rPr>
            </w:pPr>
            <w:r w:rsidRPr="0041288F">
              <w:rPr>
                <w:sz w:val="22"/>
                <w:szCs w:val="22"/>
                <w:lang w:val="en-IN" w:eastAsia="en-IN"/>
              </w:rPr>
              <w:t>27.18</w:t>
            </w:r>
          </w:p>
        </w:tc>
        <w:tc>
          <w:tcPr>
            <w:tcW w:w="405" w:type="pct"/>
            <w:shd w:val="clear" w:color="auto" w:fill="auto"/>
            <w:vAlign w:val="center"/>
            <w:hideMark/>
          </w:tcPr>
          <w:p w:rsidR="0041288F" w:rsidRPr="0041288F" w:rsidRDefault="0041288F" w:rsidP="00735CAB">
            <w:pPr>
              <w:spacing w:line="240" w:lineRule="auto"/>
              <w:jc w:val="right"/>
              <w:rPr>
                <w:sz w:val="22"/>
                <w:szCs w:val="22"/>
                <w:lang w:val="en-IN" w:eastAsia="en-IN"/>
              </w:rPr>
            </w:pPr>
            <w:r w:rsidRPr="0041288F">
              <w:rPr>
                <w:sz w:val="22"/>
                <w:szCs w:val="22"/>
                <w:lang w:val="en-IN" w:eastAsia="en-IN"/>
              </w:rPr>
              <w:t>37.10</w:t>
            </w:r>
          </w:p>
        </w:tc>
        <w:tc>
          <w:tcPr>
            <w:tcW w:w="461" w:type="pct"/>
            <w:shd w:val="clear" w:color="auto" w:fill="auto"/>
            <w:vAlign w:val="center"/>
            <w:hideMark/>
          </w:tcPr>
          <w:p w:rsidR="0041288F" w:rsidRPr="0041288F" w:rsidRDefault="0041288F" w:rsidP="00735CAB">
            <w:pPr>
              <w:spacing w:line="240" w:lineRule="auto"/>
              <w:jc w:val="right"/>
              <w:rPr>
                <w:sz w:val="22"/>
                <w:szCs w:val="22"/>
                <w:lang w:val="en-IN" w:eastAsia="en-IN"/>
              </w:rPr>
            </w:pPr>
            <w:r w:rsidRPr="0041288F">
              <w:rPr>
                <w:sz w:val="22"/>
                <w:szCs w:val="22"/>
                <w:lang w:val="en-IN" w:eastAsia="en-IN"/>
              </w:rPr>
              <w:t>34.10</w:t>
            </w:r>
          </w:p>
        </w:tc>
      </w:tr>
      <w:tr w:rsidR="0041288F" w:rsidRPr="002D648E" w:rsidTr="0041288F">
        <w:trPr>
          <w:trHeight w:val="166"/>
        </w:trPr>
        <w:tc>
          <w:tcPr>
            <w:tcW w:w="965" w:type="pct"/>
            <w:shd w:val="clear" w:color="auto" w:fill="auto"/>
            <w:noWrap/>
            <w:vAlign w:val="center"/>
          </w:tcPr>
          <w:p w:rsidR="0041288F" w:rsidRPr="002D648E" w:rsidRDefault="0041288F" w:rsidP="0041288F">
            <w:pPr>
              <w:spacing w:line="240" w:lineRule="auto"/>
              <w:jc w:val="center"/>
              <w:rPr>
                <w:b/>
                <w:bCs/>
                <w:sz w:val="22"/>
                <w:szCs w:val="22"/>
                <w:lang w:val="en-IN" w:eastAsia="en-IN"/>
              </w:rPr>
            </w:pPr>
          </w:p>
        </w:tc>
        <w:tc>
          <w:tcPr>
            <w:tcW w:w="689" w:type="pct"/>
            <w:shd w:val="clear" w:color="auto" w:fill="auto"/>
            <w:vAlign w:val="center"/>
          </w:tcPr>
          <w:p w:rsidR="0041288F" w:rsidRPr="00A91362" w:rsidRDefault="0041288F" w:rsidP="00735CAB">
            <w:pPr>
              <w:spacing w:line="240" w:lineRule="auto"/>
              <w:jc w:val="right"/>
              <w:rPr>
                <w:b/>
                <w:bCs/>
                <w:sz w:val="22"/>
                <w:szCs w:val="22"/>
                <w:lang w:val="en-IN" w:eastAsia="en-IN"/>
              </w:rPr>
            </w:pPr>
            <w:r>
              <w:rPr>
                <w:b/>
                <w:bCs/>
                <w:sz w:val="22"/>
                <w:szCs w:val="22"/>
                <w:lang w:val="en-IN" w:eastAsia="en-IN"/>
              </w:rPr>
              <w:t>237.95</w:t>
            </w:r>
          </w:p>
        </w:tc>
        <w:tc>
          <w:tcPr>
            <w:tcW w:w="462" w:type="pct"/>
            <w:shd w:val="clear" w:color="auto" w:fill="auto"/>
            <w:vAlign w:val="center"/>
          </w:tcPr>
          <w:p w:rsidR="0041288F" w:rsidRPr="00A91362" w:rsidRDefault="0041288F" w:rsidP="00735CAB">
            <w:pPr>
              <w:spacing w:line="240" w:lineRule="auto"/>
              <w:jc w:val="right"/>
              <w:rPr>
                <w:b/>
                <w:bCs/>
                <w:sz w:val="22"/>
                <w:szCs w:val="22"/>
                <w:lang w:val="en-IN" w:eastAsia="en-IN"/>
              </w:rPr>
            </w:pPr>
            <w:r>
              <w:rPr>
                <w:b/>
                <w:bCs/>
                <w:sz w:val="22"/>
                <w:szCs w:val="22"/>
                <w:lang w:val="en-IN" w:eastAsia="en-IN"/>
              </w:rPr>
              <w:t>314.33</w:t>
            </w:r>
          </w:p>
        </w:tc>
        <w:tc>
          <w:tcPr>
            <w:tcW w:w="462" w:type="pct"/>
            <w:shd w:val="clear" w:color="auto" w:fill="auto"/>
            <w:vAlign w:val="center"/>
          </w:tcPr>
          <w:p w:rsidR="0041288F" w:rsidRPr="00A91362" w:rsidRDefault="0041288F" w:rsidP="00735CAB">
            <w:pPr>
              <w:spacing w:line="240" w:lineRule="auto"/>
              <w:jc w:val="right"/>
              <w:rPr>
                <w:b/>
                <w:bCs/>
                <w:sz w:val="22"/>
                <w:szCs w:val="22"/>
                <w:lang w:val="en-IN" w:eastAsia="en-IN"/>
              </w:rPr>
            </w:pPr>
            <w:r>
              <w:rPr>
                <w:b/>
                <w:bCs/>
                <w:sz w:val="22"/>
                <w:szCs w:val="22"/>
                <w:lang w:val="en-IN" w:eastAsia="en-IN"/>
              </w:rPr>
              <w:t>400.77</w:t>
            </w:r>
          </w:p>
        </w:tc>
        <w:tc>
          <w:tcPr>
            <w:tcW w:w="462" w:type="pct"/>
            <w:shd w:val="clear" w:color="auto" w:fill="auto"/>
            <w:vAlign w:val="center"/>
          </w:tcPr>
          <w:p w:rsidR="0041288F" w:rsidRPr="00A91362" w:rsidRDefault="0041288F" w:rsidP="00735CAB">
            <w:pPr>
              <w:spacing w:line="240" w:lineRule="auto"/>
              <w:jc w:val="right"/>
              <w:rPr>
                <w:b/>
                <w:bCs/>
                <w:sz w:val="22"/>
                <w:szCs w:val="22"/>
                <w:lang w:val="en-IN" w:eastAsia="en-IN"/>
              </w:rPr>
            </w:pPr>
            <w:r>
              <w:rPr>
                <w:b/>
                <w:bCs/>
                <w:sz w:val="22"/>
                <w:szCs w:val="22"/>
                <w:lang w:val="en-IN" w:eastAsia="en-IN"/>
              </w:rPr>
              <w:t>503.17</w:t>
            </w:r>
          </w:p>
        </w:tc>
        <w:tc>
          <w:tcPr>
            <w:tcW w:w="689" w:type="pct"/>
            <w:shd w:val="clear" w:color="auto" w:fill="auto"/>
            <w:vAlign w:val="center"/>
          </w:tcPr>
          <w:p w:rsidR="0041288F" w:rsidRDefault="0041288F" w:rsidP="00735CAB">
            <w:pPr>
              <w:spacing w:line="240" w:lineRule="auto"/>
              <w:jc w:val="right"/>
              <w:rPr>
                <w:b/>
                <w:bCs/>
                <w:sz w:val="22"/>
                <w:szCs w:val="22"/>
                <w:lang w:val="en-IN" w:eastAsia="en-IN"/>
              </w:rPr>
            </w:pPr>
            <w:r w:rsidRPr="0041288F">
              <w:rPr>
                <w:b/>
                <w:bCs/>
                <w:sz w:val="22"/>
                <w:szCs w:val="22"/>
                <w:lang w:val="en-IN" w:eastAsia="en-IN"/>
              </w:rPr>
              <w:t>26.65</w:t>
            </w:r>
          </w:p>
        </w:tc>
        <w:tc>
          <w:tcPr>
            <w:tcW w:w="405" w:type="pct"/>
            <w:shd w:val="clear" w:color="auto" w:fill="auto"/>
            <w:vAlign w:val="center"/>
          </w:tcPr>
          <w:p w:rsidR="0041288F" w:rsidRPr="0041288F" w:rsidRDefault="0041288F" w:rsidP="00735CAB">
            <w:pPr>
              <w:jc w:val="right"/>
              <w:rPr>
                <w:b/>
                <w:bCs/>
                <w:sz w:val="22"/>
                <w:szCs w:val="22"/>
                <w:lang w:val="en-IN" w:eastAsia="en-IN"/>
              </w:rPr>
            </w:pPr>
            <w:r w:rsidRPr="0041288F">
              <w:rPr>
                <w:b/>
                <w:bCs/>
                <w:sz w:val="22"/>
                <w:szCs w:val="22"/>
                <w:lang w:val="en-IN" w:eastAsia="en-IN"/>
              </w:rPr>
              <w:t>48.67</w:t>
            </w:r>
          </w:p>
        </w:tc>
        <w:tc>
          <w:tcPr>
            <w:tcW w:w="405" w:type="pct"/>
            <w:shd w:val="clear" w:color="auto" w:fill="auto"/>
            <w:vAlign w:val="center"/>
          </w:tcPr>
          <w:p w:rsidR="0041288F" w:rsidRPr="0041288F" w:rsidRDefault="0041288F" w:rsidP="00735CAB">
            <w:pPr>
              <w:jc w:val="right"/>
              <w:rPr>
                <w:b/>
                <w:bCs/>
                <w:sz w:val="22"/>
                <w:szCs w:val="22"/>
                <w:lang w:val="en-IN" w:eastAsia="en-IN"/>
              </w:rPr>
            </w:pPr>
            <w:r w:rsidRPr="0041288F">
              <w:rPr>
                <w:b/>
                <w:bCs/>
                <w:sz w:val="22"/>
                <w:szCs w:val="22"/>
                <w:lang w:val="en-IN" w:eastAsia="en-IN"/>
              </w:rPr>
              <w:t>57.95</w:t>
            </w:r>
          </w:p>
        </w:tc>
        <w:tc>
          <w:tcPr>
            <w:tcW w:w="461" w:type="pct"/>
            <w:shd w:val="clear" w:color="auto" w:fill="auto"/>
            <w:vAlign w:val="center"/>
          </w:tcPr>
          <w:p w:rsidR="0041288F" w:rsidRPr="0041288F" w:rsidRDefault="0041288F" w:rsidP="00735CAB">
            <w:pPr>
              <w:jc w:val="right"/>
              <w:rPr>
                <w:b/>
                <w:bCs/>
                <w:sz w:val="22"/>
                <w:szCs w:val="22"/>
                <w:lang w:val="en-IN" w:eastAsia="en-IN"/>
              </w:rPr>
            </w:pPr>
            <w:r w:rsidRPr="0041288F">
              <w:rPr>
                <w:b/>
                <w:bCs/>
                <w:sz w:val="22"/>
                <w:szCs w:val="22"/>
                <w:lang w:val="en-IN" w:eastAsia="en-IN"/>
              </w:rPr>
              <w:t>93.71</w:t>
            </w:r>
          </w:p>
        </w:tc>
      </w:tr>
    </w:tbl>
    <w:p w:rsidR="0083206A" w:rsidRDefault="0083206A" w:rsidP="002706CE">
      <w:pPr>
        <w:pStyle w:val="EDNormal"/>
        <w:jc w:val="center"/>
      </w:pPr>
    </w:p>
    <w:p w:rsidR="00337C5E" w:rsidRDefault="001B56E3">
      <w:pPr>
        <w:pStyle w:val="ED-H3"/>
      </w:pPr>
      <w:r>
        <w:t xml:space="preserve">The petitioner would like to bring to the notice of the Commission that </w:t>
      </w:r>
      <w:r w:rsidR="0083206A">
        <w:t>i</w:t>
      </w:r>
      <w:r>
        <w:t xml:space="preserve">n respect of the obligation for purchase of solar energy, </w:t>
      </w:r>
      <w:r w:rsidR="006528AF">
        <w:t>PED</w:t>
      </w:r>
      <w:r>
        <w:t xml:space="preserve"> plans to purchase the energy generated from the following solar PV projects envisaged to be setup under various Government/ private/ NGO sectors, to meet its RPO under solar category. </w:t>
      </w:r>
    </w:p>
    <w:p w:rsidR="00D248EA" w:rsidRDefault="002D648E" w:rsidP="003E0E1E">
      <w:pPr>
        <w:pStyle w:val="EDNormal"/>
        <w:numPr>
          <w:ilvl w:val="0"/>
          <w:numId w:val="11"/>
        </w:numPr>
      </w:pPr>
      <w:r>
        <w:t xml:space="preserve">PED is envisaging </w:t>
      </w:r>
      <w:r w:rsidR="00AF4940">
        <w:t xml:space="preserve">upcoming </w:t>
      </w:r>
      <w:r w:rsidR="00D248EA">
        <w:t>roo</w:t>
      </w:r>
      <w:r w:rsidR="0041288F">
        <w:t>ftop solar plants of capacity 5</w:t>
      </w:r>
      <w:r w:rsidR="00AF4940">
        <w:t xml:space="preserve"> M</w:t>
      </w:r>
      <w:r w:rsidR="00D248EA">
        <w:t>W</w:t>
      </w:r>
      <w:r w:rsidR="0041288F">
        <w:t xml:space="preserve">, which may provide 8 </w:t>
      </w:r>
      <w:r w:rsidR="00AF4940">
        <w:t>MUs annually</w:t>
      </w:r>
      <w:r w:rsidR="00D248EA">
        <w:t xml:space="preserve"> each have been synchronised with the distribution grid in Puducherry.</w:t>
      </w:r>
    </w:p>
    <w:p w:rsidR="000D771C" w:rsidRDefault="002D648E" w:rsidP="002D648E">
      <w:pPr>
        <w:pStyle w:val="EDNormal"/>
        <w:numPr>
          <w:ilvl w:val="0"/>
          <w:numId w:val="11"/>
        </w:numPr>
      </w:pPr>
      <w:r>
        <w:t>Considering the vast potential for setting up of solar PV pants in the UT of Puducherry, PED has planned to set-up its own ground mount</w:t>
      </w:r>
      <w:r w:rsidR="000D771C">
        <w:t xml:space="preserve">ed solar PV plants of capacity 25 MW. </w:t>
      </w:r>
    </w:p>
    <w:p w:rsidR="002D648E" w:rsidRDefault="002D648E" w:rsidP="002D648E">
      <w:pPr>
        <w:pStyle w:val="EDNormal"/>
        <w:ind w:left="1080"/>
      </w:pPr>
    </w:p>
    <w:p w:rsidR="00337C5E" w:rsidRDefault="006528AF">
      <w:pPr>
        <w:pStyle w:val="ED-H3"/>
      </w:pPr>
      <w:r>
        <w:t>PED</w:t>
      </w:r>
      <w:r w:rsidR="001B56E3">
        <w:t xml:space="preserve"> has not considered the quantum and the cost of purchase of power from these plants as these are still at nascent stage. The purchase of power from these plants will be included in the ARRs of the subsequent years, once the plants </w:t>
      </w:r>
      <w:r w:rsidR="00634898">
        <w:t xml:space="preserve">are </w:t>
      </w:r>
      <w:r w:rsidR="001B56E3">
        <w:t>commission</w:t>
      </w:r>
      <w:r w:rsidR="00634898">
        <w:t>ed</w:t>
      </w:r>
      <w:r w:rsidR="001B56E3">
        <w:t xml:space="preserve"> and start supplying power to </w:t>
      </w:r>
      <w:r>
        <w:t>PED</w:t>
      </w:r>
      <w:r w:rsidR="00A71CF8">
        <w:t xml:space="preserve"> and the same will be adjusted against the proposed REC certificates. </w:t>
      </w:r>
      <w:r w:rsidR="001B56E3">
        <w:t>.</w:t>
      </w:r>
    </w:p>
    <w:p w:rsidR="001B56E3" w:rsidRDefault="001B56E3" w:rsidP="0083206A">
      <w:pPr>
        <w:pStyle w:val="EDNormal"/>
      </w:pPr>
    </w:p>
    <w:p w:rsidR="00337C5E" w:rsidRDefault="001B56E3">
      <w:pPr>
        <w:pStyle w:val="ED-H3"/>
      </w:pPr>
      <w:r w:rsidRPr="00C710FF">
        <w:t>The Petitioner requests Hon’ble Commission to</w:t>
      </w:r>
      <w:r>
        <w:t xml:space="preserve"> approve the purchase of RECs and the request as</w:t>
      </w:r>
      <w:r w:rsidRPr="00C710FF">
        <w:t xml:space="preserve"> discussed above for the purpose of meeting the RPO requirement for the control period.</w:t>
      </w:r>
    </w:p>
    <w:p w:rsidR="0083206A" w:rsidRPr="0083206A" w:rsidRDefault="0083206A" w:rsidP="0083206A">
      <w:pPr>
        <w:pStyle w:val="EDNormal"/>
      </w:pPr>
    </w:p>
    <w:p w:rsidR="00337C5E" w:rsidRDefault="0083206A" w:rsidP="000868B9">
      <w:pPr>
        <w:pStyle w:val="ED-H3"/>
        <w:numPr>
          <w:ilvl w:val="0"/>
          <w:numId w:val="0"/>
        </w:numPr>
        <w:ind w:left="720"/>
      </w:pPr>
      <w:r>
        <w:t xml:space="preserve">The </w:t>
      </w:r>
      <w:r w:rsidR="009C041E">
        <w:t xml:space="preserve">petitioner requests the Hon’ble Commission to approve the </w:t>
      </w:r>
      <w:r>
        <w:t>total quantum and cost of power purchase for the control period b</w:t>
      </w:r>
      <w:r w:rsidR="009C041E">
        <w:t>ased on merit order principles a</w:t>
      </w:r>
      <w:r>
        <w:t>s summari</w:t>
      </w:r>
      <w:r w:rsidR="009C041E">
        <w:t>sed below.</w:t>
      </w:r>
    </w:p>
    <w:p w:rsidR="00FB35C8" w:rsidRPr="000868B9" w:rsidRDefault="00FB35C8">
      <w:pPr>
        <w:spacing w:line="240" w:lineRule="auto"/>
        <w:jc w:val="left"/>
        <w:rPr>
          <w:bCs/>
          <w:lang w:val="en-US"/>
        </w:rPr>
        <w:sectPr w:rsidR="00FB35C8" w:rsidRPr="000868B9" w:rsidSect="0025252A">
          <w:pgSz w:w="11909" w:h="16834" w:code="9"/>
          <w:pgMar w:top="1449" w:right="1440" w:bottom="1440" w:left="1440" w:header="288" w:footer="765" w:gutter="0"/>
          <w:pgNumType w:start="1"/>
          <w:cols w:space="720"/>
          <w:docGrid w:linePitch="360"/>
        </w:sectPr>
      </w:pPr>
    </w:p>
    <w:p w:rsidR="00246492" w:rsidRDefault="0083206A" w:rsidP="00061AA6">
      <w:pPr>
        <w:pStyle w:val="Caption"/>
      </w:pPr>
      <w:bookmarkStart w:id="120" w:name="_Toc523719580"/>
      <w:r w:rsidRPr="004B3E48">
        <w:lastRenderedPageBreak/>
        <w:t xml:space="preserve">Table </w:t>
      </w:r>
      <w:r w:rsidR="00140E1B" w:rsidRPr="004B3E48">
        <w:fldChar w:fldCharType="begin"/>
      </w:r>
      <w:r w:rsidR="00DA6044" w:rsidRPr="004B3E48">
        <w:instrText xml:space="preserve"> SEQ Table \* ARABIC </w:instrText>
      </w:r>
      <w:r w:rsidR="00140E1B" w:rsidRPr="004B3E48">
        <w:fldChar w:fldCharType="separate"/>
      </w:r>
      <w:r w:rsidR="004B7EE5">
        <w:rPr>
          <w:noProof/>
        </w:rPr>
        <w:t>21</w:t>
      </w:r>
      <w:r w:rsidR="00140E1B" w:rsidRPr="004B3E48">
        <w:fldChar w:fldCharType="end"/>
      </w:r>
      <w:r w:rsidR="001B56E3" w:rsidRPr="004B3E48">
        <w:t xml:space="preserve">: </w:t>
      </w:r>
      <w:r w:rsidR="00115328" w:rsidRPr="004B3E48">
        <w:t>Quantum and Cost of Power Purchase for the MYT Control Period</w:t>
      </w:r>
      <w:bookmarkEnd w:id="1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
        <w:gridCol w:w="3442"/>
        <w:gridCol w:w="1401"/>
        <w:gridCol w:w="1304"/>
        <w:gridCol w:w="1154"/>
        <w:gridCol w:w="1080"/>
        <w:gridCol w:w="1570"/>
        <w:gridCol w:w="1778"/>
        <w:gridCol w:w="1570"/>
        <w:gridCol w:w="1316"/>
      </w:tblGrid>
      <w:tr w:rsidR="0041288F" w:rsidRPr="0041288F" w:rsidTr="0041288F">
        <w:trPr>
          <w:trHeight w:val="269"/>
          <w:tblHeader/>
        </w:trPr>
        <w:tc>
          <w:tcPr>
            <w:tcW w:w="290" w:type="pct"/>
            <w:vMerge w:val="restart"/>
            <w:shd w:val="clear" w:color="000000" w:fill="ACB9CA"/>
            <w:vAlign w:val="center"/>
            <w:hideMark/>
          </w:tcPr>
          <w:p w:rsidR="0041288F" w:rsidRPr="0041288F" w:rsidRDefault="0041288F" w:rsidP="0041288F">
            <w:pPr>
              <w:spacing w:line="240" w:lineRule="auto"/>
              <w:jc w:val="center"/>
              <w:rPr>
                <w:b/>
                <w:bCs/>
                <w:sz w:val="22"/>
                <w:szCs w:val="22"/>
                <w:lang w:val="en-IN" w:eastAsia="en-IN"/>
              </w:rPr>
            </w:pPr>
            <w:r w:rsidRPr="0041288F">
              <w:rPr>
                <w:b/>
                <w:bCs/>
                <w:sz w:val="22"/>
                <w:szCs w:val="22"/>
                <w:lang w:val="en-IN" w:eastAsia="en-IN"/>
              </w:rPr>
              <w:t>Sr. No.</w:t>
            </w:r>
          </w:p>
        </w:tc>
        <w:tc>
          <w:tcPr>
            <w:tcW w:w="1109" w:type="pct"/>
            <w:vMerge w:val="restart"/>
            <w:shd w:val="clear" w:color="000000" w:fill="ACB9CA"/>
            <w:vAlign w:val="center"/>
            <w:hideMark/>
          </w:tcPr>
          <w:p w:rsidR="0041288F" w:rsidRPr="0041288F" w:rsidRDefault="0041288F" w:rsidP="0041288F">
            <w:pPr>
              <w:spacing w:line="240" w:lineRule="auto"/>
              <w:jc w:val="center"/>
              <w:rPr>
                <w:b/>
                <w:bCs/>
                <w:sz w:val="22"/>
                <w:szCs w:val="22"/>
                <w:lang w:val="en-IN" w:eastAsia="en-IN"/>
              </w:rPr>
            </w:pPr>
            <w:r w:rsidRPr="0041288F">
              <w:rPr>
                <w:b/>
                <w:bCs/>
                <w:sz w:val="22"/>
                <w:szCs w:val="22"/>
                <w:lang w:val="en-IN" w:eastAsia="en-IN"/>
              </w:rPr>
              <w:t>Source</w:t>
            </w:r>
          </w:p>
        </w:tc>
        <w:tc>
          <w:tcPr>
            <w:tcW w:w="451" w:type="pct"/>
            <w:vMerge w:val="restart"/>
            <w:shd w:val="clear" w:color="000000" w:fill="ACB9CA"/>
            <w:vAlign w:val="center"/>
            <w:hideMark/>
          </w:tcPr>
          <w:p w:rsidR="0041288F" w:rsidRPr="0041288F" w:rsidRDefault="0041288F" w:rsidP="0041288F">
            <w:pPr>
              <w:spacing w:line="240" w:lineRule="auto"/>
              <w:jc w:val="center"/>
              <w:rPr>
                <w:b/>
                <w:bCs/>
                <w:sz w:val="22"/>
                <w:szCs w:val="22"/>
                <w:lang w:val="en-IN" w:eastAsia="en-IN"/>
              </w:rPr>
            </w:pPr>
            <w:r w:rsidRPr="0041288F">
              <w:rPr>
                <w:b/>
                <w:bCs/>
                <w:sz w:val="22"/>
                <w:szCs w:val="22"/>
                <w:lang w:val="en-IN" w:eastAsia="en-IN"/>
              </w:rPr>
              <w:t>Capacity (MW)</w:t>
            </w:r>
          </w:p>
        </w:tc>
        <w:tc>
          <w:tcPr>
            <w:tcW w:w="792" w:type="pct"/>
            <w:gridSpan w:val="2"/>
            <w:vMerge w:val="restart"/>
            <w:shd w:val="clear" w:color="000000" w:fill="ACB9CA"/>
            <w:vAlign w:val="center"/>
            <w:hideMark/>
          </w:tcPr>
          <w:p w:rsidR="0041288F" w:rsidRPr="0041288F" w:rsidRDefault="0041288F" w:rsidP="0041288F">
            <w:pPr>
              <w:spacing w:line="240" w:lineRule="auto"/>
              <w:jc w:val="center"/>
              <w:rPr>
                <w:b/>
                <w:bCs/>
                <w:sz w:val="22"/>
                <w:szCs w:val="22"/>
                <w:lang w:val="en-IN" w:eastAsia="en-IN"/>
              </w:rPr>
            </w:pPr>
            <w:r w:rsidRPr="0041288F">
              <w:rPr>
                <w:b/>
                <w:bCs/>
                <w:sz w:val="22"/>
                <w:szCs w:val="22"/>
                <w:lang w:val="en-IN" w:eastAsia="en-IN"/>
              </w:rPr>
              <w:t>Firm allocation to Licensee</w:t>
            </w:r>
          </w:p>
        </w:tc>
        <w:tc>
          <w:tcPr>
            <w:tcW w:w="348" w:type="pct"/>
            <w:vMerge w:val="restart"/>
            <w:shd w:val="clear" w:color="000000" w:fill="ACB9CA"/>
            <w:vAlign w:val="center"/>
            <w:hideMark/>
          </w:tcPr>
          <w:p w:rsidR="0041288F" w:rsidRPr="0041288F" w:rsidRDefault="0041288F" w:rsidP="0041288F">
            <w:pPr>
              <w:spacing w:line="240" w:lineRule="auto"/>
              <w:jc w:val="center"/>
              <w:rPr>
                <w:b/>
                <w:bCs/>
                <w:sz w:val="22"/>
                <w:szCs w:val="22"/>
                <w:lang w:val="en-IN" w:eastAsia="en-IN"/>
              </w:rPr>
            </w:pPr>
            <w:r w:rsidRPr="0041288F">
              <w:rPr>
                <w:b/>
                <w:bCs/>
                <w:sz w:val="22"/>
                <w:szCs w:val="22"/>
                <w:lang w:val="en-IN" w:eastAsia="en-IN"/>
              </w:rPr>
              <w:t>Avail. / PLF (in %)</w:t>
            </w:r>
          </w:p>
        </w:tc>
        <w:tc>
          <w:tcPr>
            <w:tcW w:w="506" w:type="pct"/>
            <w:vMerge w:val="restart"/>
            <w:shd w:val="clear" w:color="000000" w:fill="ACB9CA"/>
            <w:vAlign w:val="center"/>
            <w:hideMark/>
          </w:tcPr>
          <w:p w:rsidR="0041288F" w:rsidRPr="0041288F" w:rsidRDefault="0041288F" w:rsidP="0041288F">
            <w:pPr>
              <w:spacing w:line="240" w:lineRule="auto"/>
              <w:jc w:val="center"/>
              <w:rPr>
                <w:b/>
                <w:bCs/>
                <w:sz w:val="22"/>
                <w:szCs w:val="22"/>
                <w:lang w:val="en-IN" w:eastAsia="en-IN"/>
              </w:rPr>
            </w:pPr>
            <w:r w:rsidRPr="0041288F">
              <w:rPr>
                <w:b/>
                <w:bCs/>
                <w:sz w:val="22"/>
                <w:szCs w:val="22"/>
                <w:lang w:val="en-IN" w:eastAsia="en-IN"/>
              </w:rPr>
              <w:t>Gross Generation (MU)</w:t>
            </w:r>
          </w:p>
        </w:tc>
        <w:tc>
          <w:tcPr>
            <w:tcW w:w="573" w:type="pct"/>
            <w:vMerge w:val="restart"/>
            <w:shd w:val="clear" w:color="000000" w:fill="ACB9CA"/>
            <w:vAlign w:val="center"/>
            <w:hideMark/>
          </w:tcPr>
          <w:p w:rsidR="0041288F" w:rsidRPr="0041288F" w:rsidRDefault="0041288F" w:rsidP="0041288F">
            <w:pPr>
              <w:spacing w:line="240" w:lineRule="auto"/>
              <w:jc w:val="center"/>
              <w:rPr>
                <w:b/>
                <w:bCs/>
                <w:sz w:val="22"/>
                <w:szCs w:val="22"/>
                <w:lang w:val="en-IN" w:eastAsia="en-IN"/>
              </w:rPr>
            </w:pPr>
            <w:r w:rsidRPr="0041288F">
              <w:rPr>
                <w:b/>
                <w:bCs/>
                <w:sz w:val="22"/>
                <w:szCs w:val="22"/>
                <w:lang w:val="en-IN" w:eastAsia="en-IN"/>
              </w:rPr>
              <w:t>Aux consumption (%)</w:t>
            </w:r>
          </w:p>
        </w:tc>
        <w:tc>
          <w:tcPr>
            <w:tcW w:w="506" w:type="pct"/>
            <w:vMerge w:val="restart"/>
            <w:shd w:val="clear" w:color="000000" w:fill="ACB9CA"/>
            <w:vAlign w:val="center"/>
            <w:hideMark/>
          </w:tcPr>
          <w:p w:rsidR="0041288F" w:rsidRPr="0041288F" w:rsidRDefault="0041288F" w:rsidP="0041288F">
            <w:pPr>
              <w:spacing w:line="240" w:lineRule="auto"/>
              <w:jc w:val="center"/>
              <w:rPr>
                <w:b/>
                <w:bCs/>
                <w:sz w:val="22"/>
                <w:szCs w:val="22"/>
                <w:lang w:val="en-IN" w:eastAsia="en-IN"/>
              </w:rPr>
            </w:pPr>
            <w:r w:rsidRPr="0041288F">
              <w:rPr>
                <w:b/>
                <w:bCs/>
                <w:sz w:val="22"/>
                <w:szCs w:val="22"/>
                <w:lang w:val="en-IN" w:eastAsia="en-IN"/>
              </w:rPr>
              <w:t>Net Generation (MU)</w:t>
            </w:r>
          </w:p>
        </w:tc>
        <w:tc>
          <w:tcPr>
            <w:tcW w:w="424" w:type="pct"/>
            <w:vMerge w:val="restart"/>
            <w:shd w:val="clear" w:color="000000" w:fill="ACB9CA"/>
            <w:vAlign w:val="center"/>
            <w:hideMark/>
          </w:tcPr>
          <w:p w:rsidR="0041288F" w:rsidRPr="0041288F" w:rsidRDefault="0041288F" w:rsidP="0041288F">
            <w:pPr>
              <w:spacing w:line="240" w:lineRule="auto"/>
              <w:jc w:val="center"/>
              <w:rPr>
                <w:b/>
                <w:bCs/>
                <w:sz w:val="22"/>
                <w:szCs w:val="22"/>
                <w:lang w:val="en-IN" w:eastAsia="en-IN"/>
              </w:rPr>
            </w:pPr>
            <w:r w:rsidRPr="0041288F">
              <w:rPr>
                <w:b/>
                <w:bCs/>
                <w:sz w:val="22"/>
                <w:szCs w:val="22"/>
                <w:lang w:val="en-IN" w:eastAsia="en-IN"/>
              </w:rPr>
              <w:t xml:space="preserve">Purchase (MU) Base Year (FY 2018-19) </w:t>
            </w:r>
          </w:p>
        </w:tc>
      </w:tr>
      <w:tr w:rsidR="0041288F" w:rsidRPr="0041288F" w:rsidTr="0041288F">
        <w:trPr>
          <w:trHeight w:val="293"/>
        </w:trPr>
        <w:tc>
          <w:tcPr>
            <w:tcW w:w="290" w:type="pct"/>
            <w:vMerge/>
            <w:vAlign w:val="center"/>
            <w:hideMark/>
          </w:tcPr>
          <w:p w:rsidR="0041288F" w:rsidRPr="0041288F" w:rsidRDefault="0041288F" w:rsidP="0041288F">
            <w:pPr>
              <w:spacing w:line="240" w:lineRule="auto"/>
              <w:jc w:val="left"/>
              <w:rPr>
                <w:b/>
                <w:bCs/>
                <w:sz w:val="22"/>
                <w:szCs w:val="22"/>
                <w:lang w:val="en-IN" w:eastAsia="en-IN"/>
              </w:rPr>
            </w:pPr>
          </w:p>
        </w:tc>
        <w:tc>
          <w:tcPr>
            <w:tcW w:w="1109" w:type="pct"/>
            <w:vMerge/>
            <w:vAlign w:val="center"/>
            <w:hideMark/>
          </w:tcPr>
          <w:p w:rsidR="0041288F" w:rsidRPr="0041288F" w:rsidRDefault="0041288F" w:rsidP="0041288F">
            <w:pPr>
              <w:spacing w:line="240" w:lineRule="auto"/>
              <w:jc w:val="left"/>
              <w:rPr>
                <w:b/>
                <w:bCs/>
                <w:sz w:val="22"/>
                <w:szCs w:val="22"/>
                <w:lang w:val="en-IN" w:eastAsia="en-IN"/>
              </w:rPr>
            </w:pPr>
          </w:p>
        </w:tc>
        <w:tc>
          <w:tcPr>
            <w:tcW w:w="451" w:type="pct"/>
            <w:vMerge/>
            <w:vAlign w:val="center"/>
            <w:hideMark/>
          </w:tcPr>
          <w:p w:rsidR="0041288F" w:rsidRPr="0041288F" w:rsidRDefault="0041288F" w:rsidP="0041288F">
            <w:pPr>
              <w:spacing w:line="240" w:lineRule="auto"/>
              <w:jc w:val="left"/>
              <w:rPr>
                <w:b/>
                <w:bCs/>
                <w:sz w:val="22"/>
                <w:szCs w:val="22"/>
                <w:lang w:val="en-IN" w:eastAsia="en-IN"/>
              </w:rPr>
            </w:pPr>
          </w:p>
        </w:tc>
        <w:tc>
          <w:tcPr>
            <w:tcW w:w="792" w:type="pct"/>
            <w:gridSpan w:val="2"/>
            <w:vMerge/>
            <w:vAlign w:val="center"/>
            <w:hideMark/>
          </w:tcPr>
          <w:p w:rsidR="0041288F" w:rsidRPr="0041288F" w:rsidRDefault="0041288F" w:rsidP="0041288F">
            <w:pPr>
              <w:spacing w:line="240" w:lineRule="auto"/>
              <w:jc w:val="left"/>
              <w:rPr>
                <w:b/>
                <w:bCs/>
                <w:sz w:val="22"/>
                <w:szCs w:val="22"/>
                <w:lang w:val="en-IN" w:eastAsia="en-IN"/>
              </w:rPr>
            </w:pPr>
          </w:p>
        </w:tc>
        <w:tc>
          <w:tcPr>
            <w:tcW w:w="348" w:type="pct"/>
            <w:vMerge/>
            <w:vAlign w:val="center"/>
            <w:hideMark/>
          </w:tcPr>
          <w:p w:rsidR="0041288F" w:rsidRPr="0041288F" w:rsidRDefault="0041288F" w:rsidP="0041288F">
            <w:pPr>
              <w:spacing w:line="240" w:lineRule="auto"/>
              <w:jc w:val="left"/>
              <w:rPr>
                <w:b/>
                <w:bCs/>
                <w:sz w:val="22"/>
                <w:szCs w:val="22"/>
                <w:lang w:val="en-IN" w:eastAsia="en-IN"/>
              </w:rPr>
            </w:pPr>
          </w:p>
        </w:tc>
        <w:tc>
          <w:tcPr>
            <w:tcW w:w="506" w:type="pct"/>
            <w:vMerge/>
            <w:vAlign w:val="center"/>
            <w:hideMark/>
          </w:tcPr>
          <w:p w:rsidR="0041288F" w:rsidRPr="0041288F" w:rsidRDefault="0041288F" w:rsidP="0041288F">
            <w:pPr>
              <w:spacing w:line="240" w:lineRule="auto"/>
              <w:jc w:val="left"/>
              <w:rPr>
                <w:b/>
                <w:bCs/>
                <w:sz w:val="22"/>
                <w:szCs w:val="22"/>
                <w:lang w:val="en-IN" w:eastAsia="en-IN"/>
              </w:rPr>
            </w:pPr>
          </w:p>
        </w:tc>
        <w:tc>
          <w:tcPr>
            <w:tcW w:w="573" w:type="pct"/>
            <w:vMerge/>
            <w:vAlign w:val="center"/>
            <w:hideMark/>
          </w:tcPr>
          <w:p w:rsidR="0041288F" w:rsidRPr="0041288F" w:rsidRDefault="0041288F" w:rsidP="0041288F">
            <w:pPr>
              <w:spacing w:line="240" w:lineRule="auto"/>
              <w:jc w:val="left"/>
              <w:rPr>
                <w:b/>
                <w:bCs/>
                <w:sz w:val="22"/>
                <w:szCs w:val="22"/>
                <w:lang w:val="en-IN" w:eastAsia="en-IN"/>
              </w:rPr>
            </w:pPr>
          </w:p>
        </w:tc>
        <w:tc>
          <w:tcPr>
            <w:tcW w:w="506" w:type="pct"/>
            <w:vMerge/>
            <w:vAlign w:val="center"/>
            <w:hideMark/>
          </w:tcPr>
          <w:p w:rsidR="0041288F" w:rsidRPr="0041288F" w:rsidRDefault="0041288F" w:rsidP="0041288F">
            <w:pPr>
              <w:spacing w:line="240" w:lineRule="auto"/>
              <w:jc w:val="left"/>
              <w:rPr>
                <w:b/>
                <w:bCs/>
                <w:sz w:val="22"/>
                <w:szCs w:val="22"/>
                <w:lang w:val="en-IN" w:eastAsia="en-IN"/>
              </w:rPr>
            </w:pPr>
          </w:p>
        </w:tc>
        <w:tc>
          <w:tcPr>
            <w:tcW w:w="424" w:type="pct"/>
            <w:vMerge/>
            <w:vAlign w:val="center"/>
            <w:hideMark/>
          </w:tcPr>
          <w:p w:rsidR="0041288F" w:rsidRPr="0041288F" w:rsidRDefault="0041288F" w:rsidP="0041288F">
            <w:pPr>
              <w:spacing w:line="240" w:lineRule="auto"/>
              <w:jc w:val="left"/>
              <w:rPr>
                <w:b/>
                <w:bCs/>
                <w:sz w:val="22"/>
                <w:szCs w:val="22"/>
                <w:lang w:val="en-IN" w:eastAsia="en-IN"/>
              </w:rPr>
            </w:pPr>
          </w:p>
        </w:tc>
      </w:tr>
      <w:tr w:rsidR="0041288F" w:rsidRPr="0041288F" w:rsidTr="0041288F">
        <w:trPr>
          <w:trHeight w:val="20"/>
        </w:trPr>
        <w:tc>
          <w:tcPr>
            <w:tcW w:w="290" w:type="pct"/>
            <w:vMerge/>
            <w:vAlign w:val="center"/>
            <w:hideMark/>
          </w:tcPr>
          <w:p w:rsidR="0041288F" w:rsidRPr="0041288F" w:rsidRDefault="0041288F" w:rsidP="0041288F">
            <w:pPr>
              <w:spacing w:line="240" w:lineRule="auto"/>
              <w:jc w:val="left"/>
              <w:rPr>
                <w:b/>
                <w:bCs/>
                <w:sz w:val="22"/>
                <w:szCs w:val="22"/>
                <w:lang w:val="en-IN" w:eastAsia="en-IN"/>
              </w:rPr>
            </w:pPr>
          </w:p>
        </w:tc>
        <w:tc>
          <w:tcPr>
            <w:tcW w:w="1109" w:type="pct"/>
            <w:vMerge/>
            <w:vAlign w:val="center"/>
            <w:hideMark/>
          </w:tcPr>
          <w:p w:rsidR="0041288F" w:rsidRPr="0041288F" w:rsidRDefault="0041288F" w:rsidP="0041288F">
            <w:pPr>
              <w:spacing w:line="240" w:lineRule="auto"/>
              <w:jc w:val="left"/>
              <w:rPr>
                <w:b/>
                <w:bCs/>
                <w:sz w:val="22"/>
                <w:szCs w:val="22"/>
                <w:lang w:val="en-IN" w:eastAsia="en-IN"/>
              </w:rPr>
            </w:pPr>
          </w:p>
        </w:tc>
        <w:tc>
          <w:tcPr>
            <w:tcW w:w="451" w:type="pct"/>
            <w:vMerge/>
            <w:vAlign w:val="center"/>
            <w:hideMark/>
          </w:tcPr>
          <w:p w:rsidR="0041288F" w:rsidRPr="0041288F" w:rsidRDefault="0041288F" w:rsidP="0041288F">
            <w:pPr>
              <w:spacing w:line="240" w:lineRule="auto"/>
              <w:jc w:val="left"/>
              <w:rPr>
                <w:b/>
                <w:bCs/>
                <w:sz w:val="22"/>
                <w:szCs w:val="22"/>
                <w:lang w:val="en-IN" w:eastAsia="en-IN"/>
              </w:rPr>
            </w:pPr>
          </w:p>
        </w:tc>
        <w:tc>
          <w:tcPr>
            <w:tcW w:w="420" w:type="pct"/>
            <w:shd w:val="clear" w:color="000000" w:fill="ACB9CA"/>
            <w:vAlign w:val="center"/>
            <w:hideMark/>
          </w:tcPr>
          <w:p w:rsidR="0041288F" w:rsidRPr="0041288F" w:rsidRDefault="0041288F" w:rsidP="0041288F">
            <w:pPr>
              <w:spacing w:line="240" w:lineRule="auto"/>
              <w:jc w:val="center"/>
              <w:rPr>
                <w:b/>
                <w:bCs/>
                <w:sz w:val="22"/>
                <w:szCs w:val="22"/>
                <w:lang w:val="en-IN" w:eastAsia="en-IN"/>
              </w:rPr>
            </w:pPr>
            <w:r w:rsidRPr="0041288F">
              <w:rPr>
                <w:b/>
                <w:bCs/>
                <w:sz w:val="22"/>
                <w:szCs w:val="22"/>
                <w:lang w:val="en-IN" w:eastAsia="en-IN"/>
              </w:rPr>
              <w:t>%</w:t>
            </w:r>
          </w:p>
        </w:tc>
        <w:tc>
          <w:tcPr>
            <w:tcW w:w="372" w:type="pct"/>
            <w:shd w:val="clear" w:color="000000" w:fill="ACB9CA"/>
            <w:vAlign w:val="center"/>
            <w:hideMark/>
          </w:tcPr>
          <w:p w:rsidR="0041288F" w:rsidRPr="0041288F" w:rsidRDefault="0041288F" w:rsidP="0041288F">
            <w:pPr>
              <w:spacing w:line="240" w:lineRule="auto"/>
              <w:jc w:val="center"/>
              <w:rPr>
                <w:b/>
                <w:bCs/>
                <w:sz w:val="22"/>
                <w:szCs w:val="22"/>
                <w:lang w:val="en-IN" w:eastAsia="en-IN"/>
              </w:rPr>
            </w:pPr>
            <w:r w:rsidRPr="0041288F">
              <w:rPr>
                <w:b/>
                <w:bCs/>
                <w:sz w:val="22"/>
                <w:szCs w:val="22"/>
                <w:lang w:val="en-IN" w:eastAsia="en-IN"/>
              </w:rPr>
              <w:t>MW</w:t>
            </w:r>
          </w:p>
        </w:tc>
        <w:tc>
          <w:tcPr>
            <w:tcW w:w="348" w:type="pct"/>
            <w:vMerge/>
            <w:vAlign w:val="center"/>
            <w:hideMark/>
          </w:tcPr>
          <w:p w:rsidR="0041288F" w:rsidRPr="0041288F" w:rsidRDefault="0041288F" w:rsidP="0041288F">
            <w:pPr>
              <w:spacing w:line="240" w:lineRule="auto"/>
              <w:jc w:val="left"/>
              <w:rPr>
                <w:b/>
                <w:bCs/>
                <w:sz w:val="22"/>
                <w:szCs w:val="22"/>
                <w:lang w:val="en-IN" w:eastAsia="en-IN"/>
              </w:rPr>
            </w:pPr>
          </w:p>
        </w:tc>
        <w:tc>
          <w:tcPr>
            <w:tcW w:w="506" w:type="pct"/>
            <w:vMerge/>
            <w:vAlign w:val="center"/>
            <w:hideMark/>
          </w:tcPr>
          <w:p w:rsidR="0041288F" w:rsidRPr="0041288F" w:rsidRDefault="0041288F" w:rsidP="0041288F">
            <w:pPr>
              <w:spacing w:line="240" w:lineRule="auto"/>
              <w:jc w:val="left"/>
              <w:rPr>
                <w:b/>
                <w:bCs/>
                <w:sz w:val="22"/>
                <w:szCs w:val="22"/>
                <w:lang w:val="en-IN" w:eastAsia="en-IN"/>
              </w:rPr>
            </w:pPr>
          </w:p>
        </w:tc>
        <w:tc>
          <w:tcPr>
            <w:tcW w:w="573" w:type="pct"/>
            <w:vMerge/>
            <w:vAlign w:val="center"/>
            <w:hideMark/>
          </w:tcPr>
          <w:p w:rsidR="0041288F" w:rsidRPr="0041288F" w:rsidRDefault="0041288F" w:rsidP="0041288F">
            <w:pPr>
              <w:spacing w:line="240" w:lineRule="auto"/>
              <w:jc w:val="left"/>
              <w:rPr>
                <w:b/>
                <w:bCs/>
                <w:sz w:val="22"/>
                <w:szCs w:val="22"/>
                <w:lang w:val="en-IN" w:eastAsia="en-IN"/>
              </w:rPr>
            </w:pPr>
          </w:p>
        </w:tc>
        <w:tc>
          <w:tcPr>
            <w:tcW w:w="506" w:type="pct"/>
            <w:vMerge/>
            <w:vAlign w:val="center"/>
            <w:hideMark/>
          </w:tcPr>
          <w:p w:rsidR="0041288F" w:rsidRPr="0041288F" w:rsidRDefault="0041288F" w:rsidP="0041288F">
            <w:pPr>
              <w:spacing w:line="240" w:lineRule="auto"/>
              <w:jc w:val="left"/>
              <w:rPr>
                <w:b/>
                <w:bCs/>
                <w:sz w:val="22"/>
                <w:szCs w:val="22"/>
                <w:lang w:val="en-IN" w:eastAsia="en-IN"/>
              </w:rPr>
            </w:pPr>
          </w:p>
        </w:tc>
        <w:tc>
          <w:tcPr>
            <w:tcW w:w="424" w:type="pct"/>
            <w:vMerge/>
            <w:vAlign w:val="center"/>
            <w:hideMark/>
          </w:tcPr>
          <w:p w:rsidR="0041288F" w:rsidRPr="0041288F" w:rsidRDefault="0041288F" w:rsidP="0041288F">
            <w:pPr>
              <w:spacing w:line="240" w:lineRule="auto"/>
              <w:jc w:val="left"/>
              <w:rPr>
                <w:b/>
                <w:bCs/>
                <w:sz w:val="22"/>
                <w:szCs w:val="22"/>
                <w:lang w:val="en-IN" w:eastAsia="en-IN"/>
              </w:rPr>
            </w:pPr>
          </w:p>
        </w:tc>
      </w:tr>
      <w:tr w:rsidR="0041288F" w:rsidRPr="0041288F" w:rsidTr="0041288F">
        <w:trPr>
          <w:trHeight w:val="20"/>
        </w:trPr>
        <w:tc>
          <w:tcPr>
            <w:tcW w:w="290" w:type="pct"/>
            <w:shd w:val="clear" w:color="auto" w:fill="auto"/>
            <w:hideMark/>
          </w:tcPr>
          <w:p w:rsidR="0041288F" w:rsidRPr="0041288F" w:rsidRDefault="0041288F" w:rsidP="0041288F">
            <w:pPr>
              <w:spacing w:line="240" w:lineRule="auto"/>
              <w:jc w:val="center"/>
              <w:rPr>
                <w:sz w:val="22"/>
                <w:szCs w:val="22"/>
                <w:lang w:val="en-IN" w:eastAsia="en-IN"/>
              </w:rPr>
            </w:pPr>
            <w:r w:rsidRPr="0041288F">
              <w:rPr>
                <w:sz w:val="22"/>
                <w:szCs w:val="22"/>
                <w:lang w:val="en-IN" w:eastAsia="en-IN"/>
              </w:rPr>
              <w:t>1</w:t>
            </w:r>
          </w:p>
        </w:tc>
        <w:tc>
          <w:tcPr>
            <w:tcW w:w="1109" w:type="pct"/>
            <w:shd w:val="clear" w:color="auto" w:fill="auto"/>
            <w:hideMark/>
          </w:tcPr>
          <w:p w:rsidR="0041288F" w:rsidRPr="0041288F" w:rsidRDefault="0041288F" w:rsidP="0041288F">
            <w:pPr>
              <w:spacing w:line="240" w:lineRule="auto"/>
              <w:jc w:val="center"/>
              <w:rPr>
                <w:sz w:val="22"/>
                <w:szCs w:val="22"/>
                <w:lang w:val="en-IN" w:eastAsia="en-IN"/>
              </w:rPr>
            </w:pPr>
            <w:r w:rsidRPr="0041288F">
              <w:rPr>
                <w:sz w:val="22"/>
                <w:szCs w:val="22"/>
                <w:lang w:val="en-IN" w:eastAsia="en-IN"/>
              </w:rPr>
              <w:t>2</w:t>
            </w:r>
          </w:p>
        </w:tc>
        <w:tc>
          <w:tcPr>
            <w:tcW w:w="451" w:type="pct"/>
            <w:shd w:val="clear" w:color="auto" w:fill="auto"/>
            <w:hideMark/>
          </w:tcPr>
          <w:p w:rsidR="0041288F" w:rsidRPr="0041288F" w:rsidRDefault="0041288F" w:rsidP="0041288F">
            <w:pPr>
              <w:spacing w:line="240" w:lineRule="auto"/>
              <w:jc w:val="center"/>
              <w:rPr>
                <w:sz w:val="22"/>
                <w:szCs w:val="22"/>
                <w:lang w:val="en-IN" w:eastAsia="en-IN"/>
              </w:rPr>
            </w:pPr>
            <w:r w:rsidRPr="0041288F">
              <w:rPr>
                <w:sz w:val="22"/>
                <w:szCs w:val="22"/>
                <w:lang w:val="en-IN" w:eastAsia="en-IN"/>
              </w:rPr>
              <w:t>3</w:t>
            </w:r>
          </w:p>
        </w:tc>
        <w:tc>
          <w:tcPr>
            <w:tcW w:w="792" w:type="pct"/>
            <w:gridSpan w:val="2"/>
            <w:shd w:val="clear" w:color="auto" w:fill="auto"/>
            <w:hideMark/>
          </w:tcPr>
          <w:p w:rsidR="0041288F" w:rsidRPr="0041288F" w:rsidRDefault="0041288F" w:rsidP="0041288F">
            <w:pPr>
              <w:spacing w:line="240" w:lineRule="auto"/>
              <w:jc w:val="center"/>
              <w:rPr>
                <w:sz w:val="22"/>
                <w:szCs w:val="22"/>
                <w:lang w:val="en-IN" w:eastAsia="en-IN"/>
              </w:rPr>
            </w:pPr>
            <w:r w:rsidRPr="0041288F">
              <w:rPr>
                <w:sz w:val="22"/>
                <w:szCs w:val="22"/>
                <w:lang w:val="en-IN" w:eastAsia="en-IN"/>
              </w:rPr>
              <w:t>4</w:t>
            </w:r>
          </w:p>
        </w:tc>
        <w:tc>
          <w:tcPr>
            <w:tcW w:w="348" w:type="pct"/>
            <w:shd w:val="clear" w:color="auto" w:fill="auto"/>
            <w:hideMark/>
          </w:tcPr>
          <w:p w:rsidR="0041288F" w:rsidRPr="0041288F" w:rsidRDefault="0041288F" w:rsidP="0041288F">
            <w:pPr>
              <w:spacing w:line="240" w:lineRule="auto"/>
              <w:jc w:val="center"/>
              <w:rPr>
                <w:sz w:val="22"/>
                <w:szCs w:val="22"/>
                <w:lang w:val="en-IN" w:eastAsia="en-IN"/>
              </w:rPr>
            </w:pPr>
            <w:r w:rsidRPr="0041288F">
              <w:rPr>
                <w:sz w:val="22"/>
                <w:szCs w:val="22"/>
                <w:lang w:val="en-IN" w:eastAsia="en-IN"/>
              </w:rPr>
              <w:t>5</w:t>
            </w:r>
          </w:p>
        </w:tc>
        <w:tc>
          <w:tcPr>
            <w:tcW w:w="506" w:type="pct"/>
            <w:shd w:val="clear" w:color="auto" w:fill="auto"/>
            <w:hideMark/>
          </w:tcPr>
          <w:p w:rsidR="0041288F" w:rsidRPr="0041288F" w:rsidRDefault="0041288F" w:rsidP="0041288F">
            <w:pPr>
              <w:spacing w:line="240" w:lineRule="auto"/>
              <w:jc w:val="center"/>
              <w:rPr>
                <w:sz w:val="22"/>
                <w:szCs w:val="22"/>
                <w:lang w:val="en-IN" w:eastAsia="en-IN"/>
              </w:rPr>
            </w:pPr>
            <w:r w:rsidRPr="0041288F">
              <w:rPr>
                <w:sz w:val="22"/>
                <w:szCs w:val="22"/>
                <w:lang w:val="en-IN" w:eastAsia="en-IN"/>
              </w:rPr>
              <w:t>6</w:t>
            </w:r>
          </w:p>
        </w:tc>
        <w:tc>
          <w:tcPr>
            <w:tcW w:w="573" w:type="pct"/>
            <w:shd w:val="clear" w:color="auto" w:fill="auto"/>
            <w:hideMark/>
          </w:tcPr>
          <w:p w:rsidR="0041288F" w:rsidRPr="0041288F" w:rsidRDefault="0041288F" w:rsidP="0041288F">
            <w:pPr>
              <w:spacing w:line="240" w:lineRule="auto"/>
              <w:jc w:val="center"/>
              <w:rPr>
                <w:sz w:val="22"/>
                <w:szCs w:val="22"/>
                <w:lang w:val="en-IN" w:eastAsia="en-IN"/>
              </w:rPr>
            </w:pPr>
            <w:r w:rsidRPr="0041288F">
              <w:rPr>
                <w:sz w:val="22"/>
                <w:szCs w:val="22"/>
                <w:lang w:val="en-IN" w:eastAsia="en-IN"/>
              </w:rPr>
              <w:t>7</w:t>
            </w:r>
          </w:p>
        </w:tc>
        <w:tc>
          <w:tcPr>
            <w:tcW w:w="506" w:type="pct"/>
            <w:shd w:val="clear" w:color="auto" w:fill="auto"/>
            <w:hideMark/>
          </w:tcPr>
          <w:p w:rsidR="0041288F" w:rsidRPr="0041288F" w:rsidRDefault="0041288F" w:rsidP="0041288F">
            <w:pPr>
              <w:spacing w:line="240" w:lineRule="auto"/>
              <w:jc w:val="center"/>
              <w:rPr>
                <w:sz w:val="22"/>
                <w:szCs w:val="22"/>
                <w:lang w:val="en-IN" w:eastAsia="en-IN"/>
              </w:rPr>
            </w:pPr>
            <w:r w:rsidRPr="0041288F">
              <w:rPr>
                <w:sz w:val="22"/>
                <w:szCs w:val="22"/>
                <w:lang w:val="en-IN" w:eastAsia="en-IN"/>
              </w:rPr>
              <w:t>8</w:t>
            </w:r>
          </w:p>
        </w:tc>
        <w:tc>
          <w:tcPr>
            <w:tcW w:w="424" w:type="pct"/>
            <w:shd w:val="clear" w:color="auto" w:fill="auto"/>
            <w:hideMark/>
          </w:tcPr>
          <w:p w:rsidR="0041288F" w:rsidRPr="0041288F" w:rsidRDefault="0041288F" w:rsidP="0041288F">
            <w:pPr>
              <w:spacing w:line="240" w:lineRule="auto"/>
              <w:jc w:val="center"/>
              <w:rPr>
                <w:sz w:val="22"/>
                <w:szCs w:val="22"/>
                <w:lang w:val="en-IN" w:eastAsia="en-IN"/>
              </w:rPr>
            </w:pPr>
            <w:r w:rsidRPr="0041288F">
              <w:rPr>
                <w:sz w:val="22"/>
                <w:szCs w:val="22"/>
                <w:lang w:val="en-IN" w:eastAsia="en-IN"/>
              </w:rPr>
              <w:t>9</w:t>
            </w:r>
          </w:p>
        </w:tc>
      </w:tr>
      <w:tr w:rsidR="0041288F" w:rsidRPr="0041288F" w:rsidTr="0041288F">
        <w:trPr>
          <w:trHeight w:val="20"/>
        </w:trPr>
        <w:tc>
          <w:tcPr>
            <w:tcW w:w="290" w:type="pct"/>
            <w:shd w:val="clear" w:color="auto" w:fill="auto"/>
            <w:hideMark/>
          </w:tcPr>
          <w:p w:rsidR="0041288F" w:rsidRPr="0041288F" w:rsidRDefault="0041288F" w:rsidP="0041288F">
            <w:pPr>
              <w:spacing w:line="240" w:lineRule="auto"/>
              <w:jc w:val="center"/>
              <w:rPr>
                <w:b/>
                <w:bCs/>
                <w:sz w:val="22"/>
                <w:szCs w:val="22"/>
                <w:lang w:val="en-IN" w:eastAsia="en-IN"/>
              </w:rPr>
            </w:pPr>
            <w:r w:rsidRPr="0041288F">
              <w:rPr>
                <w:b/>
                <w:bCs/>
                <w:sz w:val="22"/>
                <w:szCs w:val="22"/>
                <w:lang w:val="en-IN" w:eastAsia="en-IN"/>
              </w:rPr>
              <w:t>A</w:t>
            </w:r>
          </w:p>
        </w:tc>
        <w:tc>
          <w:tcPr>
            <w:tcW w:w="1109" w:type="pct"/>
            <w:shd w:val="clear" w:color="auto" w:fill="auto"/>
            <w:hideMark/>
          </w:tcPr>
          <w:p w:rsidR="0041288F" w:rsidRPr="0041288F" w:rsidRDefault="0041288F" w:rsidP="0041288F">
            <w:pPr>
              <w:spacing w:line="240" w:lineRule="auto"/>
              <w:jc w:val="left"/>
              <w:rPr>
                <w:b/>
                <w:bCs/>
                <w:sz w:val="22"/>
                <w:szCs w:val="22"/>
                <w:lang w:val="en-IN" w:eastAsia="en-IN"/>
              </w:rPr>
            </w:pPr>
            <w:r w:rsidRPr="0041288F">
              <w:rPr>
                <w:b/>
                <w:bCs/>
                <w:sz w:val="22"/>
                <w:szCs w:val="22"/>
                <w:lang w:val="en-IN" w:eastAsia="en-IN"/>
              </w:rPr>
              <w:t>Central Sector Power Stations</w:t>
            </w:r>
          </w:p>
        </w:tc>
        <w:tc>
          <w:tcPr>
            <w:tcW w:w="451"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p>
        </w:tc>
        <w:tc>
          <w:tcPr>
            <w:tcW w:w="420" w:type="pct"/>
            <w:shd w:val="clear" w:color="auto" w:fill="auto"/>
            <w:noWrap/>
            <w:vAlign w:val="center"/>
            <w:hideMark/>
          </w:tcPr>
          <w:p w:rsidR="0041288F" w:rsidRPr="0041288F" w:rsidRDefault="0041288F" w:rsidP="00735CAB">
            <w:pPr>
              <w:spacing w:line="240" w:lineRule="auto"/>
              <w:jc w:val="right"/>
              <w:rPr>
                <w:b/>
                <w:bCs/>
                <w:sz w:val="22"/>
                <w:szCs w:val="22"/>
                <w:lang w:val="en-IN" w:eastAsia="en-IN"/>
              </w:rPr>
            </w:pPr>
          </w:p>
        </w:tc>
        <w:tc>
          <w:tcPr>
            <w:tcW w:w="372"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p>
        </w:tc>
        <w:tc>
          <w:tcPr>
            <w:tcW w:w="348"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p>
        </w:tc>
        <w:tc>
          <w:tcPr>
            <w:tcW w:w="506"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p>
        </w:tc>
        <w:tc>
          <w:tcPr>
            <w:tcW w:w="573"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p>
        </w:tc>
        <w:tc>
          <w:tcPr>
            <w:tcW w:w="506"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p>
        </w:tc>
        <w:tc>
          <w:tcPr>
            <w:tcW w:w="424"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p>
        </w:tc>
      </w:tr>
      <w:tr w:rsidR="0041288F" w:rsidRPr="0041288F" w:rsidTr="0041288F">
        <w:trPr>
          <w:trHeight w:val="20"/>
        </w:trPr>
        <w:tc>
          <w:tcPr>
            <w:tcW w:w="290" w:type="pct"/>
            <w:shd w:val="clear" w:color="auto" w:fill="auto"/>
            <w:hideMark/>
          </w:tcPr>
          <w:p w:rsidR="0041288F" w:rsidRPr="0041288F" w:rsidRDefault="0041288F" w:rsidP="0041288F">
            <w:pPr>
              <w:spacing w:line="240" w:lineRule="auto"/>
              <w:jc w:val="center"/>
              <w:rPr>
                <w:b/>
                <w:bCs/>
                <w:sz w:val="22"/>
                <w:szCs w:val="22"/>
                <w:lang w:val="en-IN" w:eastAsia="en-IN"/>
              </w:rPr>
            </w:pPr>
            <w:r w:rsidRPr="0041288F">
              <w:rPr>
                <w:b/>
                <w:bCs/>
                <w:sz w:val="22"/>
                <w:szCs w:val="22"/>
                <w:lang w:val="en-IN" w:eastAsia="en-IN"/>
              </w:rPr>
              <w:t>I</w:t>
            </w:r>
          </w:p>
        </w:tc>
        <w:tc>
          <w:tcPr>
            <w:tcW w:w="1109" w:type="pct"/>
            <w:shd w:val="clear" w:color="auto" w:fill="auto"/>
            <w:hideMark/>
          </w:tcPr>
          <w:p w:rsidR="0041288F" w:rsidRPr="0041288F" w:rsidRDefault="0041288F" w:rsidP="0041288F">
            <w:pPr>
              <w:spacing w:line="240" w:lineRule="auto"/>
              <w:jc w:val="left"/>
              <w:rPr>
                <w:b/>
                <w:bCs/>
                <w:sz w:val="22"/>
                <w:szCs w:val="22"/>
                <w:lang w:val="en-IN" w:eastAsia="en-IN"/>
              </w:rPr>
            </w:pPr>
            <w:r w:rsidRPr="0041288F">
              <w:rPr>
                <w:b/>
                <w:bCs/>
                <w:sz w:val="22"/>
                <w:szCs w:val="22"/>
                <w:lang w:val="en-IN" w:eastAsia="en-IN"/>
              </w:rPr>
              <w:t>NTPC</w:t>
            </w:r>
          </w:p>
        </w:tc>
        <w:tc>
          <w:tcPr>
            <w:tcW w:w="451"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r w:rsidRPr="0041288F">
              <w:rPr>
                <w:b/>
                <w:bCs/>
                <w:sz w:val="22"/>
                <w:szCs w:val="22"/>
                <w:lang w:val="en-IN" w:eastAsia="en-IN"/>
              </w:rPr>
              <w:t>5,600.00</w:t>
            </w:r>
          </w:p>
        </w:tc>
        <w:tc>
          <w:tcPr>
            <w:tcW w:w="420" w:type="pct"/>
            <w:shd w:val="clear" w:color="auto" w:fill="auto"/>
            <w:noWrap/>
            <w:vAlign w:val="center"/>
            <w:hideMark/>
          </w:tcPr>
          <w:p w:rsidR="0041288F" w:rsidRPr="0041288F" w:rsidRDefault="0041288F" w:rsidP="00735CAB">
            <w:pPr>
              <w:spacing w:line="240" w:lineRule="auto"/>
              <w:jc w:val="right"/>
              <w:rPr>
                <w:b/>
                <w:bCs/>
                <w:sz w:val="22"/>
                <w:szCs w:val="22"/>
                <w:lang w:val="en-IN" w:eastAsia="en-IN"/>
              </w:rPr>
            </w:pPr>
          </w:p>
        </w:tc>
        <w:tc>
          <w:tcPr>
            <w:tcW w:w="372"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r w:rsidRPr="0041288F">
              <w:rPr>
                <w:b/>
                <w:bCs/>
                <w:sz w:val="22"/>
                <w:szCs w:val="22"/>
                <w:lang w:val="en-IN" w:eastAsia="en-IN"/>
              </w:rPr>
              <w:t>175.91</w:t>
            </w:r>
          </w:p>
        </w:tc>
        <w:tc>
          <w:tcPr>
            <w:tcW w:w="348"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r w:rsidRPr="0041288F">
              <w:rPr>
                <w:b/>
                <w:bCs/>
                <w:sz w:val="22"/>
                <w:szCs w:val="22"/>
                <w:lang w:val="en-IN" w:eastAsia="en-IN"/>
              </w:rPr>
              <w:t>-</w:t>
            </w:r>
          </w:p>
        </w:tc>
        <w:tc>
          <w:tcPr>
            <w:tcW w:w="506"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p>
        </w:tc>
        <w:tc>
          <w:tcPr>
            <w:tcW w:w="573"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p>
        </w:tc>
        <w:tc>
          <w:tcPr>
            <w:tcW w:w="506"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r w:rsidRPr="0041288F">
              <w:rPr>
                <w:b/>
                <w:bCs/>
                <w:sz w:val="22"/>
                <w:szCs w:val="22"/>
                <w:lang w:val="en-IN" w:eastAsia="en-IN"/>
              </w:rPr>
              <w:t>-</w:t>
            </w:r>
          </w:p>
        </w:tc>
        <w:tc>
          <w:tcPr>
            <w:tcW w:w="424"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r w:rsidRPr="0041288F">
              <w:rPr>
                <w:b/>
                <w:bCs/>
                <w:sz w:val="22"/>
                <w:szCs w:val="22"/>
                <w:lang w:val="en-IN" w:eastAsia="en-IN"/>
              </w:rPr>
              <w:t>1,150.03</w:t>
            </w:r>
          </w:p>
        </w:tc>
      </w:tr>
      <w:tr w:rsidR="0041288F" w:rsidRPr="0041288F" w:rsidTr="0041288F">
        <w:trPr>
          <w:trHeight w:val="20"/>
        </w:trPr>
        <w:tc>
          <w:tcPr>
            <w:tcW w:w="290" w:type="pct"/>
            <w:shd w:val="clear" w:color="auto" w:fill="auto"/>
            <w:hideMark/>
          </w:tcPr>
          <w:p w:rsidR="0041288F" w:rsidRPr="0041288F" w:rsidRDefault="0041288F" w:rsidP="0041288F">
            <w:pPr>
              <w:spacing w:line="240" w:lineRule="auto"/>
              <w:jc w:val="center"/>
              <w:rPr>
                <w:b/>
                <w:bCs/>
                <w:sz w:val="22"/>
                <w:szCs w:val="22"/>
                <w:lang w:val="en-IN" w:eastAsia="en-IN"/>
              </w:rPr>
            </w:pPr>
            <w:r w:rsidRPr="0041288F">
              <w:rPr>
                <w:b/>
                <w:bCs/>
                <w:sz w:val="22"/>
                <w:szCs w:val="22"/>
                <w:lang w:val="en-IN" w:eastAsia="en-IN"/>
              </w:rPr>
              <w:t> </w:t>
            </w:r>
          </w:p>
        </w:tc>
        <w:tc>
          <w:tcPr>
            <w:tcW w:w="1109" w:type="pct"/>
            <w:shd w:val="clear" w:color="auto" w:fill="auto"/>
            <w:hideMark/>
          </w:tcPr>
          <w:p w:rsidR="0041288F" w:rsidRPr="0041288F" w:rsidRDefault="0041288F" w:rsidP="0041288F">
            <w:pPr>
              <w:spacing w:line="240" w:lineRule="auto"/>
              <w:jc w:val="left"/>
              <w:rPr>
                <w:b/>
                <w:bCs/>
                <w:sz w:val="22"/>
                <w:szCs w:val="22"/>
                <w:lang w:val="en-IN" w:eastAsia="en-IN"/>
              </w:rPr>
            </w:pPr>
            <w:r w:rsidRPr="0041288F">
              <w:rPr>
                <w:b/>
                <w:bCs/>
                <w:sz w:val="22"/>
                <w:szCs w:val="22"/>
                <w:lang w:val="en-IN" w:eastAsia="en-IN"/>
              </w:rPr>
              <w:t>KSTPS</w:t>
            </w:r>
          </w:p>
        </w:tc>
        <w:tc>
          <w:tcPr>
            <w:tcW w:w="451"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p>
        </w:tc>
        <w:tc>
          <w:tcPr>
            <w:tcW w:w="420" w:type="pct"/>
            <w:shd w:val="clear" w:color="auto" w:fill="auto"/>
            <w:noWrap/>
            <w:vAlign w:val="center"/>
            <w:hideMark/>
          </w:tcPr>
          <w:p w:rsidR="0041288F" w:rsidRPr="0041288F" w:rsidRDefault="0041288F" w:rsidP="00735CAB">
            <w:pPr>
              <w:spacing w:line="240" w:lineRule="auto"/>
              <w:jc w:val="right"/>
              <w:rPr>
                <w:b/>
                <w:bCs/>
                <w:sz w:val="22"/>
                <w:szCs w:val="22"/>
                <w:lang w:val="en-IN" w:eastAsia="en-IN"/>
              </w:rPr>
            </w:pPr>
          </w:p>
        </w:tc>
        <w:tc>
          <w:tcPr>
            <w:tcW w:w="372"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p>
        </w:tc>
        <w:tc>
          <w:tcPr>
            <w:tcW w:w="348"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p>
        </w:tc>
        <w:tc>
          <w:tcPr>
            <w:tcW w:w="506"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p>
        </w:tc>
        <w:tc>
          <w:tcPr>
            <w:tcW w:w="573"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p>
        </w:tc>
        <w:tc>
          <w:tcPr>
            <w:tcW w:w="506"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p>
        </w:tc>
        <w:tc>
          <w:tcPr>
            <w:tcW w:w="424"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p>
        </w:tc>
      </w:tr>
      <w:tr w:rsidR="0041288F" w:rsidRPr="0041288F" w:rsidTr="0041288F">
        <w:trPr>
          <w:trHeight w:val="20"/>
        </w:trPr>
        <w:tc>
          <w:tcPr>
            <w:tcW w:w="290" w:type="pct"/>
            <w:shd w:val="clear" w:color="auto" w:fill="auto"/>
            <w:hideMark/>
          </w:tcPr>
          <w:p w:rsidR="0041288F" w:rsidRPr="0041288F" w:rsidRDefault="0041288F" w:rsidP="0041288F">
            <w:pPr>
              <w:spacing w:line="240" w:lineRule="auto"/>
              <w:jc w:val="center"/>
              <w:rPr>
                <w:sz w:val="22"/>
                <w:szCs w:val="22"/>
                <w:lang w:val="en-IN" w:eastAsia="en-IN"/>
              </w:rPr>
            </w:pPr>
            <w:r w:rsidRPr="0041288F">
              <w:rPr>
                <w:sz w:val="22"/>
                <w:szCs w:val="22"/>
                <w:lang w:val="en-IN" w:eastAsia="en-IN"/>
              </w:rPr>
              <w:t> </w:t>
            </w:r>
          </w:p>
        </w:tc>
        <w:tc>
          <w:tcPr>
            <w:tcW w:w="1109" w:type="pct"/>
            <w:shd w:val="clear" w:color="auto" w:fill="auto"/>
            <w:noWrap/>
            <w:vAlign w:val="bottom"/>
            <w:hideMark/>
          </w:tcPr>
          <w:p w:rsidR="0041288F" w:rsidRPr="0041288F" w:rsidRDefault="0041288F" w:rsidP="0041288F">
            <w:pPr>
              <w:spacing w:line="240" w:lineRule="auto"/>
              <w:jc w:val="left"/>
              <w:rPr>
                <w:sz w:val="22"/>
                <w:szCs w:val="22"/>
                <w:lang w:val="en-IN" w:eastAsia="en-IN"/>
              </w:rPr>
            </w:pPr>
            <w:r w:rsidRPr="0041288F">
              <w:rPr>
                <w:sz w:val="22"/>
                <w:szCs w:val="22"/>
                <w:lang w:val="en-IN" w:eastAsia="en-IN"/>
              </w:rPr>
              <w:t>RSTPS Stage I &amp; II</w:t>
            </w:r>
          </w:p>
        </w:tc>
        <w:tc>
          <w:tcPr>
            <w:tcW w:w="451"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2,100</w:t>
            </w:r>
          </w:p>
        </w:tc>
        <w:tc>
          <w:tcPr>
            <w:tcW w:w="420" w:type="pct"/>
            <w:shd w:val="clear" w:color="auto" w:fill="auto"/>
            <w:noWrap/>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3.49</w:t>
            </w:r>
          </w:p>
        </w:tc>
        <w:tc>
          <w:tcPr>
            <w:tcW w:w="372"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73.33</w:t>
            </w:r>
          </w:p>
        </w:tc>
        <w:tc>
          <w:tcPr>
            <w:tcW w:w="348"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81%</w:t>
            </w: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14,842.08</w:t>
            </w:r>
          </w:p>
        </w:tc>
        <w:tc>
          <w:tcPr>
            <w:tcW w:w="573"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7%</w:t>
            </w: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13,850.63</w:t>
            </w:r>
          </w:p>
        </w:tc>
        <w:tc>
          <w:tcPr>
            <w:tcW w:w="424" w:type="pct"/>
            <w:shd w:val="clear" w:color="auto" w:fill="auto"/>
            <w:vAlign w:val="center"/>
            <w:hideMark/>
          </w:tcPr>
          <w:p w:rsidR="0041288F" w:rsidRPr="0041288F" w:rsidRDefault="0041288F" w:rsidP="00735CAB">
            <w:pPr>
              <w:spacing w:line="240" w:lineRule="auto"/>
              <w:jc w:val="right"/>
              <w:rPr>
                <w:sz w:val="22"/>
                <w:szCs w:val="22"/>
                <w:lang w:val="en-IN" w:eastAsia="en-IN"/>
              </w:rPr>
            </w:pPr>
            <w:r w:rsidRPr="0041288F">
              <w:rPr>
                <w:sz w:val="22"/>
                <w:szCs w:val="22"/>
                <w:lang w:val="en-IN" w:eastAsia="en-IN"/>
              </w:rPr>
              <w:t>483.66</w:t>
            </w:r>
          </w:p>
        </w:tc>
      </w:tr>
      <w:tr w:rsidR="0041288F" w:rsidRPr="0041288F" w:rsidTr="0041288F">
        <w:trPr>
          <w:trHeight w:val="20"/>
        </w:trPr>
        <w:tc>
          <w:tcPr>
            <w:tcW w:w="290" w:type="pct"/>
            <w:shd w:val="clear" w:color="auto" w:fill="auto"/>
            <w:hideMark/>
          </w:tcPr>
          <w:p w:rsidR="0041288F" w:rsidRPr="0041288F" w:rsidRDefault="0041288F" w:rsidP="0041288F">
            <w:pPr>
              <w:spacing w:line="240" w:lineRule="auto"/>
              <w:jc w:val="center"/>
              <w:rPr>
                <w:sz w:val="22"/>
                <w:szCs w:val="22"/>
                <w:lang w:val="en-IN" w:eastAsia="en-IN"/>
              </w:rPr>
            </w:pPr>
            <w:r w:rsidRPr="0041288F">
              <w:rPr>
                <w:sz w:val="22"/>
                <w:szCs w:val="22"/>
                <w:lang w:val="en-IN" w:eastAsia="en-IN"/>
              </w:rPr>
              <w:t> </w:t>
            </w:r>
          </w:p>
        </w:tc>
        <w:tc>
          <w:tcPr>
            <w:tcW w:w="1109" w:type="pct"/>
            <w:shd w:val="clear" w:color="auto" w:fill="auto"/>
            <w:noWrap/>
            <w:vAlign w:val="bottom"/>
            <w:hideMark/>
          </w:tcPr>
          <w:p w:rsidR="0041288F" w:rsidRPr="0041288F" w:rsidRDefault="0041288F" w:rsidP="0041288F">
            <w:pPr>
              <w:spacing w:line="240" w:lineRule="auto"/>
              <w:jc w:val="left"/>
              <w:rPr>
                <w:sz w:val="22"/>
                <w:szCs w:val="22"/>
                <w:lang w:val="en-IN" w:eastAsia="en-IN"/>
              </w:rPr>
            </w:pPr>
            <w:r w:rsidRPr="0041288F">
              <w:rPr>
                <w:sz w:val="22"/>
                <w:szCs w:val="22"/>
                <w:lang w:val="en-IN" w:eastAsia="en-IN"/>
              </w:rPr>
              <w:t>RSTPS Stage -III</w:t>
            </w:r>
          </w:p>
        </w:tc>
        <w:tc>
          <w:tcPr>
            <w:tcW w:w="451"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500</w:t>
            </w:r>
          </w:p>
        </w:tc>
        <w:tc>
          <w:tcPr>
            <w:tcW w:w="420" w:type="pct"/>
            <w:shd w:val="clear" w:color="auto" w:fill="auto"/>
            <w:noWrap/>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3.72</w:t>
            </w:r>
          </w:p>
        </w:tc>
        <w:tc>
          <w:tcPr>
            <w:tcW w:w="372"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18.61</w:t>
            </w:r>
          </w:p>
        </w:tc>
        <w:tc>
          <w:tcPr>
            <w:tcW w:w="348"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89%</w:t>
            </w: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3,878.27</w:t>
            </w:r>
          </w:p>
        </w:tc>
        <w:tc>
          <w:tcPr>
            <w:tcW w:w="573"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6%</w:t>
            </w: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3,655.27</w:t>
            </w:r>
          </w:p>
        </w:tc>
        <w:tc>
          <w:tcPr>
            <w:tcW w:w="424" w:type="pct"/>
            <w:shd w:val="clear" w:color="auto" w:fill="auto"/>
            <w:vAlign w:val="center"/>
            <w:hideMark/>
          </w:tcPr>
          <w:p w:rsidR="0041288F" w:rsidRPr="0041288F" w:rsidRDefault="0041288F" w:rsidP="00735CAB">
            <w:pPr>
              <w:spacing w:line="240" w:lineRule="auto"/>
              <w:jc w:val="right"/>
              <w:rPr>
                <w:sz w:val="22"/>
                <w:szCs w:val="22"/>
                <w:lang w:val="en-IN" w:eastAsia="en-IN"/>
              </w:rPr>
            </w:pPr>
            <w:r w:rsidRPr="0041288F">
              <w:rPr>
                <w:sz w:val="22"/>
                <w:szCs w:val="22"/>
                <w:lang w:val="en-IN" w:eastAsia="en-IN"/>
              </w:rPr>
              <w:t>136.01</w:t>
            </w:r>
          </w:p>
        </w:tc>
      </w:tr>
      <w:tr w:rsidR="0041288F" w:rsidRPr="0041288F" w:rsidTr="0041288F">
        <w:trPr>
          <w:trHeight w:val="20"/>
        </w:trPr>
        <w:tc>
          <w:tcPr>
            <w:tcW w:w="290" w:type="pct"/>
            <w:shd w:val="clear" w:color="auto" w:fill="auto"/>
            <w:hideMark/>
          </w:tcPr>
          <w:p w:rsidR="0041288F" w:rsidRPr="0041288F" w:rsidRDefault="0041288F" w:rsidP="0041288F">
            <w:pPr>
              <w:spacing w:line="240" w:lineRule="auto"/>
              <w:jc w:val="center"/>
              <w:rPr>
                <w:sz w:val="22"/>
                <w:szCs w:val="22"/>
                <w:lang w:val="en-IN" w:eastAsia="en-IN"/>
              </w:rPr>
            </w:pPr>
            <w:r w:rsidRPr="0041288F">
              <w:rPr>
                <w:sz w:val="22"/>
                <w:szCs w:val="22"/>
                <w:lang w:val="en-IN" w:eastAsia="en-IN"/>
              </w:rPr>
              <w:t> </w:t>
            </w:r>
          </w:p>
        </w:tc>
        <w:tc>
          <w:tcPr>
            <w:tcW w:w="1109" w:type="pct"/>
            <w:shd w:val="clear" w:color="auto" w:fill="auto"/>
            <w:noWrap/>
            <w:vAlign w:val="bottom"/>
            <w:hideMark/>
          </w:tcPr>
          <w:p w:rsidR="0041288F" w:rsidRPr="0041288F" w:rsidRDefault="0041288F" w:rsidP="0041288F">
            <w:pPr>
              <w:spacing w:line="240" w:lineRule="auto"/>
              <w:jc w:val="left"/>
              <w:rPr>
                <w:sz w:val="22"/>
                <w:szCs w:val="22"/>
                <w:lang w:val="en-IN" w:eastAsia="en-IN"/>
              </w:rPr>
            </w:pPr>
            <w:r w:rsidRPr="0041288F">
              <w:rPr>
                <w:sz w:val="22"/>
                <w:szCs w:val="22"/>
                <w:lang w:val="en-IN" w:eastAsia="en-IN"/>
              </w:rPr>
              <w:t>Talcher  Stage- II</w:t>
            </w:r>
          </w:p>
        </w:tc>
        <w:tc>
          <w:tcPr>
            <w:tcW w:w="451"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2,000</w:t>
            </w:r>
          </w:p>
        </w:tc>
        <w:tc>
          <w:tcPr>
            <w:tcW w:w="420" w:type="pct"/>
            <w:shd w:val="clear" w:color="auto" w:fill="auto"/>
            <w:noWrap/>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3.23</w:t>
            </w:r>
          </w:p>
        </w:tc>
        <w:tc>
          <w:tcPr>
            <w:tcW w:w="372"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64.68</w:t>
            </w:r>
          </w:p>
        </w:tc>
        <w:tc>
          <w:tcPr>
            <w:tcW w:w="348"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81%</w:t>
            </w: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14,156.51</w:t>
            </w:r>
          </w:p>
        </w:tc>
        <w:tc>
          <w:tcPr>
            <w:tcW w:w="573"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6%</w:t>
            </w: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13,342.51</w:t>
            </w:r>
          </w:p>
        </w:tc>
        <w:tc>
          <w:tcPr>
            <w:tcW w:w="424" w:type="pct"/>
            <w:shd w:val="clear" w:color="auto" w:fill="auto"/>
            <w:vAlign w:val="center"/>
            <w:hideMark/>
          </w:tcPr>
          <w:p w:rsidR="0041288F" w:rsidRPr="0041288F" w:rsidRDefault="0041288F" w:rsidP="00735CAB">
            <w:pPr>
              <w:spacing w:line="240" w:lineRule="auto"/>
              <w:jc w:val="right"/>
              <w:rPr>
                <w:sz w:val="22"/>
                <w:szCs w:val="22"/>
                <w:lang w:val="en-IN" w:eastAsia="en-IN"/>
              </w:rPr>
            </w:pPr>
            <w:r w:rsidRPr="0041288F">
              <w:rPr>
                <w:sz w:val="22"/>
                <w:szCs w:val="22"/>
                <w:lang w:val="en-IN" w:eastAsia="en-IN"/>
              </w:rPr>
              <w:t>431.50</w:t>
            </w:r>
          </w:p>
        </w:tc>
      </w:tr>
      <w:tr w:rsidR="0041288F" w:rsidRPr="0041288F" w:rsidTr="0041288F">
        <w:trPr>
          <w:trHeight w:val="20"/>
        </w:trPr>
        <w:tc>
          <w:tcPr>
            <w:tcW w:w="290" w:type="pct"/>
            <w:shd w:val="clear" w:color="auto" w:fill="auto"/>
            <w:hideMark/>
          </w:tcPr>
          <w:p w:rsidR="0041288F" w:rsidRPr="0041288F" w:rsidRDefault="0041288F" w:rsidP="0041288F">
            <w:pPr>
              <w:spacing w:line="240" w:lineRule="auto"/>
              <w:jc w:val="center"/>
              <w:rPr>
                <w:sz w:val="22"/>
                <w:szCs w:val="22"/>
                <w:lang w:val="en-IN" w:eastAsia="en-IN"/>
              </w:rPr>
            </w:pPr>
            <w:r w:rsidRPr="0041288F">
              <w:rPr>
                <w:sz w:val="22"/>
                <w:szCs w:val="22"/>
                <w:lang w:val="en-IN" w:eastAsia="en-IN"/>
              </w:rPr>
              <w:t> </w:t>
            </w:r>
          </w:p>
        </w:tc>
        <w:tc>
          <w:tcPr>
            <w:tcW w:w="1109" w:type="pct"/>
            <w:shd w:val="clear" w:color="auto" w:fill="auto"/>
            <w:noWrap/>
            <w:vAlign w:val="bottom"/>
            <w:hideMark/>
          </w:tcPr>
          <w:p w:rsidR="0041288F" w:rsidRPr="0041288F" w:rsidRDefault="0041288F" w:rsidP="0041288F">
            <w:pPr>
              <w:spacing w:line="240" w:lineRule="auto"/>
              <w:jc w:val="left"/>
              <w:rPr>
                <w:sz w:val="22"/>
                <w:szCs w:val="22"/>
                <w:lang w:val="en-IN" w:eastAsia="en-IN"/>
              </w:rPr>
            </w:pPr>
            <w:r w:rsidRPr="0041288F">
              <w:rPr>
                <w:sz w:val="22"/>
                <w:szCs w:val="22"/>
                <w:lang w:val="en-IN" w:eastAsia="en-IN"/>
              </w:rPr>
              <w:t>Simhadri Stage- II</w:t>
            </w:r>
          </w:p>
        </w:tc>
        <w:tc>
          <w:tcPr>
            <w:tcW w:w="451"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1,000</w:t>
            </w:r>
          </w:p>
        </w:tc>
        <w:tc>
          <w:tcPr>
            <w:tcW w:w="420" w:type="pct"/>
            <w:shd w:val="clear" w:color="auto" w:fill="auto"/>
            <w:noWrap/>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1.93</w:t>
            </w:r>
          </w:p>
        </w:tc>
        <w:tc>
          <w:tcPr>
            <w:tcW w:w="372"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19.29</w:t>
            </w:r>
          </w:p>
        </w:tc>
        <w:tc>
          <w:tcPr>
            <w:tcW w:w="348"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62%</w:t>
            </w: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5,408.77</w:t>
            </w:r>
          </w:p>
        </w:tc>
        <w:tc>
          <w:tcPr>
            <w:tcW w:w="573"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5%</w:t>
            </w: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5,124.81</w:t>
            </w:r>
          </w:p>
        </w:tc>
        <w:tc>
          <w:tcPr>
            <w:tcW w:w="424" w:type="pct"/>
            <w:shd w:val="clear" w:color="auto" w:fill="auto"/>
            <w:vAlign w:val="center"/>
            <w:hideMark/>
          </w:tcPr>
          <w:p w:rsidR="0041288F" w:rsidRPr="0041288F" w:rsidRDefault="0041288F" w:rsidP="00735CAB">
            <w:pPr>
              <w:spacing w:line="240" w:lineRule="auto"/>
              <w:jc w:val="right"/>
              <w:rPr>
                <w:sz w:val="22"/>
                <w:szCs w:val="22"/>
                <w:lang w:val="en-IN" w:eastAsia="en-IN"/>
              </w:rPr>
            </w:pPr>
            <w:r w:rsidRPr="0041288F">
              <w:rPr>
                <w:sz w:val="22"/>
                <w:szCs w:val="22"/>
                <w:lang w:val="en-IN" w:eastAsia="en-IN"/>
              </w:rPr>
              <w:t>98.86</w:t>
            </w:r>
          </w:p>
        </w:tc>
      </w:tr>
      <w:tr w:rsidR="0041288F" w:rsidRPr="0041288F" w:rsidTr="0041288F">
        <w:trPr>
          <w:trHeight w:val="20"/>
        </w:trPr>
        <w:tc>
          <w:tcPr>
            <w:tcW w:w="290" w:type="pct"/>
            <w:shd w:val="clear" w:color="auto" w:fill="auto"/>
            <w:hideMark/>
          </w:tcPr>
          <w:p w:rsidR="0041288F" w:rsidRPr="0041288F" w:rsidRDefault="0041288F" w:rsidP="0041288F">
            <w:pPr>
              <w:spacing w:line="240" w:lineRule="auto"/>
              <w:jc w:val="center"/>
              <w:rPr>
                <w:sz w:val="22"/>
                <w:szCs w:val="22"/>
                <w:lang w:val="en-IN" w:eastAsia="en-IN"/>
              </w:rPr>
            </w:pPr>
            <w:r w:rsidRPr="0041288F">
              <w:rPr>
                <w:sz w:val="22"/>
                <w:szCs w:val="22"/>
                <w:lang w:val="en-IN" w:eastAsia="en-IN"/>
              </w:rPr>
              <w:t> </w:t>
            </w:r>
          </w:p>
        </w:tc>
        <w:tc>
          <w:tcPr>
            <w:tcW w:w="1109" w:type="pct"/>
            <w:shd w:val="clear" w:color="auto" w:fill="auto"/>
            <w:hideMark/>
          </w:tcPr>
          <w:p w:rsidR="0041288F" w:rsidRPr="0041288F" w:rsidRDefault="0041288F" w:rsidP="0041288F">
            <w:pPr>
              <w:spacing w:line="240" w:lineRule="auto"/>
              <w:ind w:firstLineChars="100" w:firstLine="220"/>
              <w:jc w:val="left"/>
              <w:rPr>
                <w:i/>
                <w:iCs/>
                <w:sz w:val="22"/>
                <w:szCs w:val="22"/>
                <w:lang w:val="en-IN" w:eastAsia="en-IN"/>
              </w:rPr>
            </w:pPr>
            <w:r w:rsidRPr="0041288F">
              <w:rPr>
                <w:i/>
                <w:iCs/>
                <w:sz w:val="22"/>
                <w:szCs w:val="22"/>
                <w:lang w:val="en-IN" w:eastAsia="en-IN"/>
              </w:rPr>
              <w:t> </w:t>
            </w:r>
          </w:p>
        </w:tc>
        <w:tc>
          <w:tcPr>
            <w:tcW w:w="451"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p>
        </w:tc>
        <w:tc>
          <w:tcPr>
            <w:tcW w:w="420" w:type="pct"/>
            <w:shd w:val="clear" w:color="auto" w:fill="auto"/>
            <w:noWrap/>
            <w:vAlign w:val="center"/>
            <w:hideMark/>
          </w:tcPr>
          <w:p w:rsidR="0041288F" w:rsidRPr="0041288F" w:rsidRDefault="0041288F" w:rsidP="00735CAB">
            <w:pPr>
              <w:spacing w:line="240" w:lineRule="auto"/>
              <w:jc w:val="right"/>
              <w:rPr>
                <w:i/>
                <w:iCs/>
                <w:sz w:val="22"/>
                <w:szCs w:val="22"/>
                <w:lang w:val="en-IN" w:eastAsia="en-IN"/>
              </w:rPr>
            </w:pPr>
          </w:p>
        </w:tc>
        <w:tc>
          <w:tcPr>
            <w:tcW w:w="372"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p>
        </w:tc>
        <w:tc>
          <w:tcPr>
            <w:tcW w:w="348"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p>
        </w:tc>
        <w:tc>
          <w:tcPr>
            <w:tcW w:w="573"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p>
        </w:tc>
        <w:tc>
          <w:tcPr>
            <w:tcW w:w="424"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r>
      <w:tr w:rsidR="0041288F" w:rsidRPr="0041288F" w:rsidTr="0041288F">
        <w:trPr>
          <w:trHeight w:val="20"/>
        </w:trPr>
        <w:tc>
          <w:tcPr>
            <w:tcW w:w="290" w:type="pct"/>
            <w:shd w:val="clear" w:color="auto" w:fill="auto"/>
            <w:hideMark/>
          </w:tcPr>
          <w:p w:rsidR="0041288F" w:rsidRPr="0041288F" w:rsidRDefault="0041288F" w:rsidP="0041288F">
            <w:pPr>
              <w:spacing w:line="240" w:lineRule="auto"/>
              <w:jc w:val="center"/>
              <w:rPr>
                <w:b/>
                <w:bCs/>
                <w:sz w:val="22"/>
                <w:szCs w:val="22"/>
                <w:lang w:val="en-IN" w:eastAsia="en-IN"/>
              </w:rPr>
            </w:pPr>
            <w:r w:rsidRPr="0041288F">
              <w:rPr>
                <w:b/>
                <w:bCs/>
                <w:sz w:val="22"/>
                <w:szCs w:val="22"/>
                <w:lang w:val="en-IN" w:eastAsia="en-IN"/>
              </w:rPr>
              <w:t>II</w:t>
            </w:r>
          </w:p>
        </w:tc>
        <w:tc>
          <w:tcPr>
            <w:tcW w:w="1109" w:type="pct"/>
            <w:shd w:val="clear" w:color="auto" w:fill="auto"/>
            <w:hideMark/>
          </w:tcPr>
          <w:p w:rsidR="0041288F" w:rsidRPr="0041288F" w:rsidRDefault="0041288F" w:rsidP="0041288F">
            <w:pPr>
              <w:spacing w:line="240" w:lineRule="auto"/>
              <w:ind w:firstLineChars="100" w:firstLine="221"/>
              <w:jc w:val="left"/>
              <w:rPr>
                <w:b/>
                <w:bCs/>
                <w:i/>
                <w:iCs/>
                <w:sz w:val="22"/>
                <w:szCs w:val="22"/>
                <w:lang w:val="en-IN" w:eastAsia="en-IN"/>
              </w:rPr>
            </w:pPr>
            <w:r w:rsidRPr="0041288F">
              <w:rPr>
                <w:b/>
                <w:bCs/>
                <w:i/>
                <w:iCs/>
                <w:sz w:val="22"/>
                <w:szCs w:val="22"/>
                <w:lang w:val="en-IN" w:eastAsia="en-IN"/>
              </w:rPr>
              <w:t>NLC</w:t>
            </w:r>
          </w:p>
        </w:tc>
        <w:tc>
          <w:tcPr>
            <w:tcW w:w="451"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r w:rsidRPr="0041288F">
              <w:rPr>
                <w:b/>
                <w:bCs/>
                <w:sz w:val="22"/>
                <w:szCs w:val="22"/>
                <w:lang w:val="en-IN" w:eastAsia="en-IN"/>
              </w:rPr>
              <w:t>3,390.00</w:t>
            </w:r>
          </w:p>
        </w:tc>
        <w:tc>
          <w:tcPr>
            <w:tcW w:w="420" w:type="pct"/>
            <w:shd w:val="clear" w:color="auto" w:fill="auto"/>
            <w:noWrap/>
            <w:vAlign w:val="center"/>
            <w:hideMark/>
          </w:tcPr>
          <w:p w:rsidR="0041288F" w:rsidRPr="0041288F" w:rsidRDefault="0041288F" w:rsidP="00735CAB">
            <w:pPr>
              <w:spacing w:line="240" w:lineRule="auto"/>
              <w:jc w:val="right"/>
              <w:rPr>
                <w:b/>
                <w:bCs/>
                <w:i/>
                <w:iCs/>
                <w:sz w:val="22"/>
                <w:szCs w:val="22"/>
                <w:lang w:val="en-IN" w:eastAsia="en-IN"/>
              </w:rPr>
            </w:pPr>
          </w:p>
        </w:tc>
        <w:tc>
          <w:tcPr>
            <w:tcW w:w="372" w:type="pct"/>
            <w:shd w:val="clear" w:color="auto" w:fill="auto"/>
            <w:vAlign w:val="center"/>
            <w:hideMark/>
          </w:tcPr>
          <w:p w:rsidR="0041288F" w:rsidRPr="0041288F" w:rsidRDefault="007854F0" w:rsidP="00735CAB">
            <w:pPr>
              <w:spacing w:line="240" w:lineRule="auto"/>
              <w:jc w:val="right"/>
              <w:rPr>
                <w:b/>
                <w:bCs/>
                <w:sz w:val="22"/>
                <w:szCs w:val="22"/>
                <w:lang w:val="en-IN" w:eastAsia="en-IN"/>
              </w:rPr>
            </w:pPr>
            <w:r>
              <w:rPr>
                <w:b/>
                <w:bCs/>
                <w:sz w:val="22"/>
                <w:szCs w:val="22"/>
                <w:lang w:val="en-IN" w:eastAsia="en-IN"/>
              </w:rPr>
              <w:t>176.23</w:t>
            </w:r>
          </w:p>
        </w:tc>
        <w:tc>
          <w:tcPr>
            <w:tcW w:w="348" w:type="pct"/>
            <w:shd w:val="clear" w:color="auto" w:fill="auto"/>
            <w:vAlign w:val="center"/>
            <w:hideMark/>
          </w:tcPr>
          <w:p w:rsidR="0041288F" w:rsidRPr="0041288F" w:rsidRDefault="0041288F" w:rsidP="00735CAB">
            <w:pPr>
              <w:spacing w:line="240" w:lineRule="auto"/>
              <w:jc w:val="right"/>
              <w:rPr>
                <w:b/>
                <w:bCs/>
                <w:i/>
                <w:iCs/>
                <w:sz w:val="22"/>
                <w:szCs w:val="22"/>
                <w:lang w:val="en-IN" w:eastAsia="en-IN"/>
              </w:rPr>
            </w:pP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w:t>
            </w:r>
          </w:p>
        </w:tc>
        <w:tc>
          <w:tcPr>
            <w:tcW w:w="573"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w:t>
            </w:r>
          </w:p>
        </w:tc>
        <w:tc>
          <w:tcPr>
            <w:tcW w:w="424"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r w:rsidRPr="0041288F">
              <w:rPr>
                <w:b/>
                <w:bCs/>
                <w:sz w:val="22"/>
                <w:szCs w:val="22"/>
                <w:lang w:val="en-IN" w:eastAsia="en-IN"/>
              </w:rPr>
              <w:t>952.80</w:t>
            </w:r>
          </w:p>
        </w:tc>
      </w:tr>
      <w:tr w:rsidR="0041288F" w:rsidRPr="0041288F" w:rsidTr="0041288F">
        <w:trPr>
          <w:trHeight w:val="20"/>
        </w:trPr>
        <w:tc>
          <w:tcPr>
            <w:tcW w:w="290" w:type="pct"/>
            <w:shd w:val="clear" w:color="auto" w:fill="auto"/>
            <w:hideMark/>
          </w:tcPr>
          <w:p w:rsidR="0041288F" w:rsidRPr="0041288F" w:rsidRDefault="0041288F" w:rsidP="0041288F">
            <w:pPr>
              <w:spacing w:line="240" w:lineRule="auto"/>
              <w:jc w:val="center"/>
              <w:rPr>
                <w:sz w:val="22"/>
                <w:szCs w:val="22"/>
                <w:lang w:val="en-IN" w:eastAsia="en-IN"/>
              </w:rPr>
            </w:pPr>
            <w:r w:rsidRPr="0041288F">
              <w:rPr>
                <w:sz w:val="22"/>
                <w:szCs w:val="22"/>
                <w:lang w:val="en-IN" w:eastAsia="en-IN"/>
              </w:rPr>
              <w:t> </w:t>
            </w:r>
          </w:p>
        </w:tc>
        <w:tc>
          <w:tcPr>
            <w:tcW w:w="1109" w:type="pct"/>
            <w:shd w:val="clear" w:color="auto" w:fill="auto"/>
            <w:noWrap/>
            <w:vAlign w:val="bottom"/>
            <w:hideMark/>
          </w:tcPr>
          <w:p w:rsidR="0041288F" w:rsidRPr="0041288F" w:rsidRDefault="0041288F" w:rsidP="0041288F">
            <w:pPr>
              <w:spacing w:line="240" w:lineRule="auto"/>
              <w:jc w:val="left"/>
              <w:rPr>
                <w:sz w:val="22"/>
                <w:szCs w:val="22"/>
                <w:lang w:val="en-IN" w:eastAsia="en-IN"/>
              </w:rPr>
            </w:pPr>
            <w:r w:rsidRPr="0041288F">
              <w:rPr>
                <w:sz w:val="22"/>
                <w:szCs w:val="22"/>
                <w:lang w:val="en-IN" w:eastAsia="en-IN"/>
              </w:rPr>
              <w:t>NLC TPS II Stage I</w:t>
            </w:r>
          </w:p>
        </w:tc>
        <w:tc>
          <w:tcPr>
            <w:tcW w:w="451"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630</w:t>
            </w:r>
          </w:p>
        </w:tc>
        <w:tc>
          <w:tcPr>
            <w:tcW w:w="420" w:type="pct"/>
            <w:shd w:val="clear" w:color="auto" w:fill="auto"/>
            <w:noWrap/>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12.11</w:t>
            </w:r>
          </w:p>
        </w:tc>
        <w:tc>
          <w:tcPr>
            <w:tcW w:w="372"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76.31</w:t>
            </w:r>
          </w:p>
        </w:tc>
        <w:tc>
          <w:tcPr>
            <w:tcW w:w="348"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78%</w:t>
            </w: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4,307.53</w:t>
            </w:r>
          </w:p>
        </w:tc>
        <w:tc>
          <w:tcPr>
            <w:tcW w:w="573"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10%</w:t>
            </w: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3,876.78</w:t>
            </w:r>
          </w:p>
        </w:tc>
        <w:tc>
          <w:tcPr>
            <w:tcW w:w="424" w:type="pct"/>
            <w:shd w:val="clear" w:color="auto" w:fill="auto"/>
            <w:vAlign w:val="center"/>
            <w:hideMark/>
          </w:tcPr>
          <w:p w:rsidR="0041288F" w:rsidRPr="0041288F" w:rsidRDefault="0041288F" w:rsidP="00735CAB">
            <w:pPr>
              <w:spacing w:line="240" w:lineRule="auto"/>
              <w:jc w:val="right"/>
              <w:rPr>
                <w:sz w:val="22"/>
                <w:szCs w:val="22"/>
                <w:lang w:val="en-IN" w:eastAsia="en-IN"/>
              </w:rPr>
            </w:pPr>
            <w:r w:rsidRPr="0041288F">
              <w:rPr>
                <w:sz w:val="22"/>
                <w:szCs w:val="22"/>
                <w:lang w:val="en-IN" w:eastAsia="en-IN"/>
              </w:rPr>
              <w:t>469.56</w:t>
            </w:r>
          </w:p>
        </w:tc>
      </w:tr>
      <w:tr w:rsidR="0041288F" w:rsidRPr="0041288F" w:rsidTr="0041288F">
        <w:trPr>
          <w:trHeight w:val="20"/>
        </w:trPr>
        <w:tc>
          <w:tcPr>
            <w:tcW w:w="290" w:type="pct"/>
            <w:shd w:val="clear" w:color="auto" w:fill="auto"/>
            <w:hideMark/>
          </w:tcPr>
          <w:p w:rsidR="0041288F" w:rsidRPr="0041288F" w:rsidRDefault="0041288F" w:rsidP="0041288F">
            <w:pPr>
              <w:spacing w:line="240" w:lineRule="auto"/>
              <w:jc w:val="center"/>
              <w:rPr>
                <w:sz w:val="22"/>
                <w:szCs w:val="22"/>
                <w:lang w:val="en-IN" w:eastAsia="en-IN"/>
              </w:rPr>
            </w:pPr>
            <w:r w:rsidRPr="0041288F">
              <w:rPr>
                <w:sz w:val="22"/>
                <w:szCs w:val="22"/>
                <w:lang w:val="en-IN" w:eastAsia="en-IN"/>
              </w:rPr>
              <w:t> </w:t>
            </w:r>
          </w:p>
        </w:tc>
        <w:tc>
          <w:tcPr>
            <w:tcW w:w="1109" w:type="pct"/>
            <w:shd w:val="clear" w:color="auto" w:fill="auto"/>
            <w:noWrap/>
            <w:vAlign w:val="bottom"/>
            <w:hideMark/>
          </w:tcPr>
          <w:p w:rsidR="0041288F" w:rsidRPr="0041288F" w:rsidRDefault="0041288F" w:rsidP="0041288F">
            <w:pPr>
              <w:spacing w:line="240" w:lineRule="auto"/>
              <w:jc w:val="left"/>
              <w:rPr>
                <w:sz w:val="22"/>
                <w:szCs w:val="22"/>
                <w:lang w:val="en-IN" w:eastAsia="en-IN"/>
              </w:rPr>
            </w:pPr>
            <w:r w:rsidRPr="0041288F">
              <w:rPr>
                <w:sz w:val="22"/>
                <w:szCs w:val="22"/>
                <w:lang w:val="en-IN" w:eastAsia="en-IN"/>
              </w:rPr>
              <w:t>NLC TPS II Stage II</w:t>
            </w:r>
          </w:p>
        </w:tc>
        <w:tc>
          <w:tcPr>
            <w:tcW w:w="451"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840</w:t>
            </w:r>
          </w:p>
        </w:tc>
        <w:tc>
          <w:tcPr>
            <w:tcW w:w="420" w:type="pct"/>
            <w:shd w:val="clear" w:color="auto" w:fill="auto"/>
            <w:noWrap/>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3.61</w:t>
            </w:r>
          </w:p>
        </w:tc>
        <w:tc>
          <w:tcPr>
            <w:tcW w:w="372"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30.30</w:t>
            </w:r>
          </w:p>
        </w:tc>
        <w:tc>
          <w:tcPr>
            <w:tcW w:w="348"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75%</w:t>
            </w: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5,526.45</w:t>
            </w:r>
          </w:p>
        </w:tc>
        <w:tc>
          <w:tcPr>
            <w:tcW w:w="573"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10%</w:t>
            </w: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4,973.81</w:t>
            </w:r>
          </w:p>
        </w:tc>
        <w:tc>
          <w:tcPr>
            <w:tcW w:w="424" w:type="pct"/>
            <w:shd w:val="clear" w:color="auto" w:fill="auto"/>
            <w:vAlign w:val="center"/>
            <w:hideMark/>
          </w:tcPr>
          <w:p w:rsidR="0041288F" w:rsidRPr="0041288F" w:rsidRDefault="0041288F" w:rsidP="00735CAB">
            <w:pPr>
              <w:spacing w:line="240" w:lineRule="auto"/>
              <w:jc w:val="right"/>
              <w:rPr>
                <w:sz w:val="22"/>
                <w:szCs w:val="22"/>
                <w:lang w:val="en-IN" w:eastAsia="en-IN"/>
              </w:rPr>
            </w:pPr>
            <w:r w:rsidRPr="0041288F">
              <w:rPr>
                <w:sz w:val="22"/>
                <w:szCs w:val="22"/>
                <w:lang w:val="en-IN" w:eastAsia="en-IN"/>
              </w:rPr>
              <w:t>179.41</w:t>
            </w:r>
          </w:p>
        </w:tc>
      </w:tr>
      <w:tr w:rsidR="0041288F" w:rsidRPr="0041288F" w:rsidTr="0041288F">
        <w:trPr>
          <w:trHeight w:val="20"/>
        </w:trPr>
        <w:tc>
          <w:tcPr>
            <w:tcW w:w="290" w:type="pct"/>
            <w:shd w:val="clear" w:color="auto" w:fill="auto"/>
            <w:hideMark/>
          </w:tcPr>
          <w:p w:rsidR="0041288F" w:rsidRPr="0041288F" w:rsidRDefault="0041288F" w:rsidP="0041288F">
            <w:pPr>
              <w:spacing w:line="240" w:lineRule="auto"/>
              <w:jc w:val="center"/>
              <w:rPr>
                <w:sz w:val="22"/>
                <w:szCs w:val="22"/>
                <w:lang w:val="en-IN" w:eastAsia="en-IN"/>
              </w:rPr>
            </w:pPr>
            <w:r w:rsidRPr="0041288F">
              <w:rPr>
                <w:sz w:val="22"/>
                <w:szCs w:val="22"/>
                <w:lang w:val="en-IN" w:eastAsia="en-IN"/>
              </w:rPr>
              <w:t> </w:t>
            </w:r>
          </w:p>
        </w:tc>
        <w:tc>
          <w:tcPr>
            <w:tcW w:w="1109" w:type="pct"/>
            <w:shd w:val="clear" w:color="auto" w:fill="auto"/>
            <w:noWrap/>
            <w:vAlign w:val="bottom"/>
            <w:hideMark/>
          </w:tcPr>
          <w:p w:rsidR="0041288F" w:rsidRPr="0041288F" w:rsidRDefault="0041288F" w:rsidP="0041288F">
            <w:pPr>
              <w:spacing w:line="240" w:lineRule="auto"/>
              <w:jc w:val="left"/>
              <w:rPr>
                <w:sz w:val="22"/>
                <w:szCs w:val="22"/>
                <w:lang w:val="en-IN" w:eastAsia="en-IN"/>
              </w:rPr>
            </w:pPr>
            <w:r w:rsidRPr="0041288F">
              <w:rPr>
                <w:sz w:val="22"/>
                <w:szCs w:val="22"/>
                <w:lang w:val="en-IN" w:eastAsia="en-IN"/>
              </w:rPr>
              <w:t>NLC TPS I (Expn)</w:t>
            </w:r>
          </w:p>
        </w:tc>
        <w:tc>
          <w:tcPr>
            <w:tcW w:w="451"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420</w:t>
            </w:r>
          </w:p>
        </w:tc>
        <w:tc>
          <w:tcPr>
            <w:tcW w:w="420" w:type="pct"/>
            <w:shd w:val="clear" w:color="auto" w:fill="auto"/>
            <w:noWrap/>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3.94</w:t>
            </w:r>
          </w:p>
        </w:tc>
        <w:tc>
          <w:tcPr>
            <w:tcW w:w="372"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16.54</w:t>
            </w:r>
          </w:p>
        </w:tc>
        <w:tc>
          <w:tcPr>
            <w:tcW w:w="348"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67%</w:t>
            </w: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2,453.00</w:t>
            </w:r>
          </w:p>
        </w:tc>
        <w:tc>
          <w:tcPr>
            <w:tcW w:w="573"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9%</w:t>
            </w: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2,244.49</w:t>
            </w:r>
          </w:p>
        </w:tc>
        <w:tc>
          <w:tcPr>
            <w:tcW w:w="424" w:type="pct"/>
            <w:shd w:val="clear" w:color="auto" w:fill="auto"/>
            <w:vAlign w:val="center"/>
            <w:hideMark/>
          </w:tcPr>
          <w:p w:rsidR="0041288F" w:rsidRPr="0041288F" w:rsidRDefault="0041288F" w:rsidP="00735CAB">
            <w:pPr>
              <w:spacing w:line="240" w:lineRule="auto"/>
              <w:jc w:val="right"/>
              <w:rPr>
                <w:sz w:val="22"/>
                <w:szCs w:val="22"/>
                <w:lang w:val="en-IN" w:eastAsia="en-IN"/>
              </w:rPr>
            </w:pPr>
            <w:r w:rsidRPr="0041288F">
              <w:rPr>
                <w:sz w:val="22"/>
                <w:szCs w:val="22"/>
                <w:lang w:val="en-IN" w:eastAsia="en-IN"/>
              </w:rPr>
              <w:t>88.39</w:t>
            </w:r>
          </w:p>
        </w:tc>
      </w:tr>
      <w:tr w:rsidR="0041288F" w:rsidRPr="0041288F" w:rsidTr="0041288F">
        <w:trPr>
          <w:trHeight w:val="20"/>
        </w:trPr>
        <w:tc>
          <w:tcPr>
            <w:tcW w:w="290" w:type="pct"/>
            <w:shd w:val="clear" w:color="auto" w:fill="auto"/>
            <w:hideMark/>
          </w:tcPr>
          <w:p w:rsidR="0041288F" w:rsidRPr="0041288F" w:rsidRDefault="0041288F" w:rsidP="0041288F">
            <w:pPr>
              <w:spacing w:line="240" w:lineRule="auto"/>
              <w:jc w:val="center"/>
              <w:rPr>
                <w:sz w:val="22"/>
                <w:szCs w:val="22"/>
                <w:lang w:val="en-IN" w:eastAsia="en-IN"/>
              </w:rPr>
            </w:pPr>
            <w:r w:rsidRPr="0041288F">
              <w:rPr>
                <w:sz w:val="22"/>
                <w:szCs w:val="22"/>
                <w:lang w:val="en-IN" w:eastAsia="en-IN"/>
              </w:rPr>
              <w:t> </w:t>
            </w:r>
          </w:p>
        </w:tc>
        <w:tc>
          <w:tcPr>
            <w:tcW w:w="1109" w:type="pct"/>
            <w:shd w:val="clear" w:color="auto" w:fill="auto"/>
            <w:noWrap/>
            <w:vAlign w:val="bottom"/>
            <w:hideMark/>
          </w:tcPr>
          <w:p w:rsidR="0041288F" w:rsidRPr="0041288F" w:rsidRDefault="0041288F" w:rsidP="0041288F">
            <w:pPr>
              <w:spacing w:line="240" w:lineRule="auto"/>
              <w:jc w:val="left"/>
              <w:rPr>
                <w:sz w:val="22"/>
                <w:szCs w:val="22"/>
                <w:lang w:val="en-IN" w:eastAsia="en-IN"/>
              </w:rPr>
            </w:pPr>
            <w:r w:rsidRPr="0041288F">
              <w:rPr>
                <w:sz w:val="22"/>
                <w:szCs w:val="22"/>
                <w:lang w:val="en-IN" w:eastAsia="en-IN"/>
              </w:rPr>
              <w:t>NLC TPS II (Expn)</w:t>
            </w:r>
          </w:p>
        </w:tc>
        <w:tc>
          <w:tcPr>
            <w:tcW w:w="451"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500</w:t>
            </w:r>
          </w:p>
        </w:tc>
        <w:tc>
          <w:tcPr>
            <w:tcW w:w="420" w:type="pct"/>
            <w:shd w:val="clear" w:color="auto" w:fill="auto"/>
            <w:noWrap/>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4.07</w:t>
            </w:r>
          </w:p>
        </w:tc>
        <w:tc>
          <w:tcPr>
            <w:tcW w:w="372"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20.36</w:t>
            </w:r>
          </w:p>
        </w:tc>
        <w:tc>
          <w:tcPr>
            <w:tcW w:w="348"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28%</w:t>
            </w: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1,224.12</w:t>
            </w:r>
          </w:p>
        </w:tc>
        <w:tc>
          <w:tcPr>
            <w:tcW w:w="573"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10%</w:t>
            </w: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1,101.71</w:t>
            </w:r>
          </w:p>
        </w:tc>
        <w:tc>
          <w:tcPr>
            <w:tcW w:w="424" w:type="pct"/>
            <w:shd w:val="clear" w:color="auto" w:fill="auto"/>
            <w:vAlign w:val="center"/>
            <w:hideMark/>
          </w:tcPr>
          <w:p w:rsidR="0041288F" w:rsidRPr="0041288F" w:rsidRDefault="0041288F" w:rsidP="00735CAB">
            <w:pPr>
              <w:spacing w:line="240" w:lineRule="auto"/>
              <w:jc w:val="right"/>
              <w:rPr>
                <w:sz w:val="22"/>
                <w:szCs w:val="22"/>
                <w:lang w:val="en-IN" w:eastAsia="en-IN"/>
              </w:rPr>
            </w:pPr>
            <w:r w:rsidRPr="0041288F">
              <w:rPr>
                <w:sz w:val="22"/>
                <w:szCs w:val="22"/>
                <w:lang w:val="en-IN" w:eastAsia="en-IN"/>
              </w:rPr>
              <w:t>44.85</w:t>
            </w:r>
          </w:p>
        </w:tc>
      </w:tr>
      <w:tr w:rsidR="0041288F" w:rsidRPr="0041288F" w:rsidTr="0041288F">
        <w:trPr>
          <w:trHeight w:val="20"/>
        </w:trPr>
        <w:tc>
          <w:tcPr>
            <w:tcW w:w="290" w:type="pct"/>
            <w:shd w:val="clear" w:color="auto" w:fill="auto"/>
            <w:hideMark/>
          </w:tcPr>
          <w:p w:rsidR="0041288F" w:rsidRPr="0041288F" w:rsidRDefault="0041288F" w:rsidP="0041288F">
            <w:pPr>
              <w:spacing w:line="240" w:lineRule="auto"/>
              <w:jc w:val="center"/>
              <w:rPr>
                <w:sz w:val="22"/>
                <w:szCs w:val="22"/>
                <w:lang w:val="en-IN" w:eastAsia="en-IN"/>
              </w:rPr>
            </w:pPr>
            <w:r w:rsidRPr="0041288F">
              <w:rPr>
                <w:sz w:val="22"/>
                <w:szCs w:val="22"/>
                <w:lang w:val="en-IN" w:eastAsia="en-IN"/>
              </w:rPr>
              <w:t> </w:t>
            </w:r>
          </w:p>
        </w:tc>
        <w:tc>
          <w:tcPr>
            <w:tcW w:w="1109" w:type="pct"/>
            <w:shd w:val="clear" w:color="auto" w:fill="auto"/>
            <w:noWrap/>
            <w:vAlign w:val="bottom"/>
            <w:hideMark/>
          </w:tcPr>
          <w:p w:rsidR="0041288F" w:rsidRPr="0041288F" w:rsidRDefault="0041288F" w:rsidP="0041288F">
            <w:pPr>
              <w:spacing w:line="240" w:lineRule="auto"/>
              <w:jc w:val="left"/>
              <w:rPr>
                <w:sz w:val="22"/>
                <w:szCs w:val="22"/>
                <w:lang w:val="en-IN" w:eastAsia="en-IN"/>
              </w:rPr>
            </w:pPr>
            <w:r w:rsidRPr="0041288F">
              <w:rPr>
                <w:sz w:val="22"/>
                <w:szCs w:val="22"/>
                <w:lang w:val="en-IN" w:eastAsia="en-IN"/>
              </w:rPr>
              <w:t>NTPL</w:t>
            </w:r>
          </w:p>
        </w:tc>
        <w:tc>
          <w:tcPr>
            <w:tcW w:w="451"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1,000</w:t>
            </w:r>
          </w:p>
        </w:tc>
        <w:tc>
          <w:tcPr>
            <w:tcW w:w="420" w:type="pct"/>
            <w:shd w:val="clear" w:color="auto" w:fill="auto"/>
            <w:noWrap/>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3.27</w:t>
            </w:r>
          </w:p>
        </w:tc>
        <w:tc>
          <w:tcPr>
            <w:tcW w:w="372"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32.72</w:t>
            </w:r>
          </w:p>
        </w:tc>
        <w:tc>
          <w:tcPr>
            <w:tcW w:w="348"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63%</w:t>
            </w: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5,561.46</w:t>
            </w:r>
          </w:p>
        </w:tc>
        <w:tc>
          <w:tcPr>
            <w:tcW w:w="573"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6%</w:t>
            </w: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5,213.87</w:t>
            </w:r>
          </w:p>
        </w:tc>
        <w:tc>
          <w:tcPr>
            <w:tcW w:w="424" w:type="pct"/>
            <w:shd w:val="clear" w:color="auto" w:fill="auto"/>
            <w:vAlign w:val="center"/>
            <w:hideMark/>
          </w:tcPr>
          <w:p w:rsidR="0041288F" w:rsidRPr="0041288F" w:rsidRDefault="0041288F" w:rsidP="00735CAB">
            <w:pPr>
              <w:spacing w:line="240" w:lineRule="auto"/>
              <w:jc w:val="right"/>
              <w:rPr>
                <w:sz w:val="22"/>
                <w:szCs w:val="22"/>
                <w:lang w:val="en-IN" w:eastAsia="en-IN"/>
              </w:rPr>
            </w:pPr>
            <w:r w:rsidRPr="0041288F">
              <w:rPr>
                <w:sz w:val="22"/>
                <w:szCs w:val="22"/>
                <w:lang w:val="en-IN" w:eastAsia="en-IN"/>
              </w:rPr>
              <w:t>170.60</w:t>
            </w:r>
          </w:p>
        </w:tc>
      </w:tr>
      <w:tr w:rsidR="0041288F" w:rsidRPr="0041288F" w:rsidTr="0041288F">
        <w:trPr>
          <w:trHeight w:val="20"/>
        </w:trPr>
        <w:tc>
          <w:tcPr>
            <w:tcW w:w="290" w:type="pct"/>
            <w:shd w:val="clear" w:color="auto" w:fill="auto"/>
            <w:hideMark/>
          </w:tcPr>
          <w:p w:rsidR="0041288F" w:rsidRPr="0041288F" w:rsidRDefault="0041288F" w:rsidP="0041288F">
            <w:pPr>
              <w:spacing w:line="240" w:lineRule="auto"/>
              <w:jc w:val="center"/>
              <w:rPr>
                <w:sz w:val="22"/>
                <w:szCs w:val="22"/>
                <w:lang w:val="en-IN" w:eastAsia="en-IN"/>
              </w:rPr>
            </w:pPr>
            <w:r w:rsidRPr="0041288F">
              <w:rPr>
                <w:sz w:val="22"/>
                <w:szCs w:val="22"/>
                <w:lang w:val="en-IN" w:eastAsia="en-IN"/>
              </w:rPr>
              <w:t> </w:t>
            </w:r>
          </w:p>
        </w:tc>
        <w:tc>
          <w:tcPr>
            <w:tcW w:w="1109" w:type="pct"/>
            <w:shd w:val="clear" w:color="auto" w:fill="auto"/>
            <w:hideMark/>
          </w:tcPr>
          <w:p w:rsidR="0041288F" w:rsidRPr="0041288F" w:rsidRDefault="0041288F" w:rsidP="0041288F">
            <w:pPr>
              <w:spacing w:line="240" w:lineRule="auto"/>
              <w:ind w:firstLineChars="100" w:firstLine="220"/>
              <w:jc w:val="left"/>
              <w:rPr>
                <w:i/>
                <w:iCs/>
                <w:sz w:val="22"/>
                <w:szCs w:val="22"/>
                <w:lang w:val="en-IN" w:eastAsia="en-IN"/>
              </w:rPr>
            </w:pPr>
            <w:r w:rsidRPr="0041288F">
              <w:rPr>
                <w:i/>
                <w:iCs/>
                <w:sz w:val="22"/>
                <w:szCs w:val="22"/>
                <w:lang w:val="en-IN" w:eastAsia="en-IN"/>
              </w:rPr>
              <w:t> </w:t>
            </w:r>
          </w:p>
        </w:tc>
        <w:tc>
          <w:tcPr>
            <w:tcW w:w="451"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p>
        </w:tc>
        <w:tc>
          <w:tcPr>
            <w:tcW w:w="420" w:type="pct"/>
            <w:shd w:val="clear" w:color="auto" w:fill="auto"/>
            <w:noWrap/>
            <w:vAlign w:val="center"/>
            <w:hideMark/>
          </w:tcPr>
          <w:p w:rsidR="0041288F" w:rsidRPr="0041288F" w:rsidRDefault="0041288F" w:rsidP="00735CAB">
            <w:pPr>
              <w:spacing w:line="240" w:lineRule="auto"/>
              <w:jc w:val="right"/>
              <w:rPr>
                <w:i/>
                <w:iCs/>
                <w:sz w:val="22"/>
                <w:szCs w:val="22"/>
                <w:lang w:val="en-IN" w:eastAsia="en-IN"/>
              </w:rPr>
            </w:pPr>
          </w:p>
        </w:tc>
        <w:tc>
          <w:tcPr>
            <w:tcW w:w="372"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p>
        </w:tc>
        <w:tc>
          <w:tcPr>
            <w:tcW w:w="348"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w:t>
            </w:r>
          </w:p>
        </w:tc>
        <w:tc>
          <w:tcPr>
            <w:tcW w:w="573"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w:t>
            </w:r>
          </w:p>
        </w:tc>
        <w:tc>
          <w:tcPr>
            <w:tcW w:w="424"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r>
      <w:tr w:rsidR="0041288F" w:rsidRPr="0041288F" w:rsidTr="0041288F">
        <w:trPr>
          <w:trHeight w:val="20"/>
        </w:trPr>
        <w:tc>
          <w:tcPr>
            <w:tcW w:w="290" w:type="pct"/>
            <w:shd w:val="clear" w:color="auto" w:fill="auto"/>
            <w:hideMark/>
          </w:tcPr>
          <w:p w:rsidR="0041288F" w:rsidRPr="0041288F" w:rsidRDefault="0041288F" w:rsidP="0041288F">
            <w:pPr>
              <w:spacing w:line="240" w:lineRule="auto"/>
              <w:jc w:val="center"/>
              <w:rPr>
                <w:b/>
                <w:bCs/>
                <w:sz w:val="22"/>
                <w:szCs w:val="22"/>
                <w:lang w:val="en-IN" w:eastAsia="en-IN"/>
              </w:rPr>
            </w:pPr>
            <w:r w:rsidRPr="0041288F">
              <w:rPr>
                <w:b/>
                <w:bCs/>
                <w:sz w:val="22"/>
                <w:szCs w:val="22"/>
                <w:lang w:val="en-IN" w:eastAsia="en-IN"/>
              </w:rPr>
              <w:t>III</w:t>
            </w:r>
          </w:p>
        </w:tc>
        <w:tc>
          <w:tcPr>
            <w:tcW w:w="1109" w:type="pct"/>
            <w:shd w:val="clear" w:color="auto" w:fill="auto"/>
            <w:hideMark/>
          </w:tcPr>
          <w:p w:rsidR="0041288F" w:rsidRPr="0041288F" w:rsidRDefault="0041288F" w:rsidP="0041288F">
            <w:pPr>
              <w:spacing w:line="240" w:lineRule="auto"/>
              <w:ind w:firstLineChars="100" w:firstLine="221"/>
              <w:jc w:val="left"/>
              <w:rPr>
                <w:b/>
                <w:bCs/>
                <w:i/>
                <w:iCs/>
                <w:sz w:val="22"/>
                <w:szCs w:val="22"/>
                <w:lang w:val="en-IN" w:eastAsia="en-IN"/>
              </w:rPr>
            </w:pPr>
            <w:r w:rsidRPr="0041288F">
              <w:rPr>
                <w:b/>
                <w:bCs/>
                <w:i/>
                <w:iCs/>
                <w:sz w:val="22"/>
                <w:szCs w:val="22"/>
                <w:lang w:val="en-IN" w:eastAsia="en-IN"/>
              </w:rPr>
              <w:t>NPCIL</w:t>
            </w:r>
          </w:p>
        </w:tc>
        <w:tc>
          <w:tcPr>
            <w:tcW w:w="451"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r w:rsidRPr="0041288F">
              <w:rPr>
                <w:b/>
                <w:bCs/>
                <w:sz w:val="22"/>
                <w:szCs w:val="22"/>
                <w:lang w:val="en-IN" w:eastAsia="en-IN"/>
              </w:rPr>
              <w:t>3,320.00</w:t>
            </w:r>
          </w:p>
        </w:tc>
        <w:tc>
          <w:tcPr>
            <w:tcW w:w="420" w:type="pct"/>
            <w:shd w:val="clear" w:color="auto" w:fill="auto"/>
            <w:noWrap/>
            <w:vAlign w:val="center"/>
            <w:hideMark/>
          </w:tcPr>
          <w:p w:rsidR="0041288F" w:rsidRPr="0041288F" w:rsidRDefault="0041288F" w:rsidP="00735CAB">
            <w:pPr>
              <w:spacing w:line="240" w:lineRule="auto"/>
              <w:jc w:val="right"/>
              <w:rPr>
                <w:b/>
                <w:bCs/>
                <w:i/>
                <w:iCs/>
                <w:sz w:val="22"/>
                <w:szCs w:val="22"/>
                <w:lang w:val="en-IN" w:eastAsia="en-IN"/>
              </w:rPr>
            </w:pPr>
          </w:p>
        </w:tc>
        <w:tc>
          <w:tcPr>
            <w:tcW w:w="372"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r w:rsidRPr="0041288F">
              <w:rPr>
                <w:b/>
                <w:bCs/>
                <w:sz w:val="22"/>
                <w:szCs w:val="22"/>
                <w:lang w:val="en-IN" w:eastAsia="en-IN"/>
              </w:rPr>
              <w:t>117.79</w:t>
            </w:r>
          </w:p>
        </w:tc>
        <w:tc>
          <w:tcPr>
            <w:tcW w:w="348" w:type="pct"/>
            <w:shd w:val="clear" w:color="auto" w:fill="auto"/>
            <w:vAlign w:val="center"/>
            <w:hideMark/>
          </w:tcPr>
          <w:p w:rsidR="0041288F" w:rsidRPr="0041288F" w:rsidRDefault="0041288F" w:rsidP="00735CAB">
            <w:pPr>
              <w:spacing w:line="240" w:lineRule="auto"/>
              <w:jc w:val="right"/>
              <w:rPr>
                <w:b/>
                <w:bCs/>
                <w:i/>
                <w:iCs/>
                <w:sz w:val="22"/>
                <w:szCs w:val="22"/>
                <w:lang w:val="en-IN" w:eastAsia="en-IN"/>
              </w:rPr>
            </w:pP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w:t>
            </w:r>
          </w:p>
        </w:tc>
        <w:tc>
          <w:tcPr>
            <w:tcW w:w="573"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w:t>
            </w:r>
          </w:p>
        </w:tc>
        <w:tc>
          <w:tcPr>
            <w:tcW w:w="424"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r w:rsidRPr="0041288F">
              <w:rPr>
                <w:b/>
                <w:bCs/>
                <w:sz w:val="22"/>
                <w:szCs w:val="22"/>
                <w:lang w:val="en-IN" w:eastAsia="en-IN"/>
              </w:rPr>
              <w:t>595.67</w:t>
            </w:r>
          </w:p>
        </w:tc>
      </w:tr>
      <w:tr w:rsidR="0041288F" w:rsidRPr="0041288F" w:rsidTr="0041288F">
        <w:trPr>
          <w:trHeight w:val="20"/>
        </w:trPr>
        <w:tc>
          <w:tcPr>
            <w:tcW w:w="290" w:type="pct"/>
            <w:shd w:val="clear" w:color="auto" w:fill="auto"/>
            <w:hideMark/>
          </w:tcPr>
          <w:p w:rsidR="0041288F" w:rsidRPr="0041288F" w:rsidRDefault="0041288F" w:rsidP="0041288F">
            <w:pPr>
              <w:spacing w:line="240" w:lineRule="auto"/>
              <w:jc w:val="center"/>
              <w:rPr>
                <w:sz w:val="22"/>
                <w:szCs w:val="22"/>
                <w:lang w:val="en-IN" w:eastAsia="en-IN"/>
              </w:rPr>
            </w:pPr>
            <w:r w:rsidRPr="0041288F">
              <w:rPr>
                <w:sz w:val="22"/>
                <w:szCs w:val="22"/>
                <w:lang w:val="en-IN" w:eastAsia="en-IN"/>
              </w:rPr>
              <w:t> </w:t>
            </w:r>
          </w:p>
        </w:tc>
        <w:tc>
          <w:tcPr>
            <w:tcW w:w="1109" w:type="pct"/>
            <w:shd w:val="clear" w:color="auto" w:fill="auto"/>
            <w:noWrap/>
            <w:vAlign w:val="bottom"/>
            <w:hideMark/>
          </w:tcPr>
          <w:p w:rsidR="0041288F" w:rsidRPr="0041288F" w:rsidRDefault="0041288F" w:rsidP="0041288F">
            <w:pPr>
              <w:spacing w:line="240" w:lineRule="auto"/>
              <w:jc w:val="left"/>
              <w:rPr>
                <w:sz w:val="22"/>
                <w:szCs w:val="22"/>
                <w:lang w:val="en-IN" w:eastAsia="en-IN"/>
              </w:rPr>
            </w:pPr>
            <w:r w:rsidRPr="0041288F">
              <w:rPr>
                <w:sz w:val="22"/>
                <w:szCs w:val="22"/>
                <w:lang w:val="en-IN" w:eastAsia="en-IN"/>
              </w:rPr>
              <w:t>MAPS</w:t>
            </w:r>
          </w:p>
        </w:tc>
        <w:tc>
          <w:tcPr>
            <w:tcW w:w="451"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440</w:t>
            </w:r>
          </w:p>
        </w:tc>
        <w:tc>
          <w:tcPr>
            <w:tcW w:w="420" w:type="pct"/>
            <w:shd w:val="clear" w:color="auto" w:fill="auto"/>
            <w:noWrap/>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1.91</w:t>
            </w:r>
          </w:p>
        </w:tc>
        <w:tc>
          <w:tcPr>
            <w:tcW w:w="372"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8.40</w:t>
            </w:r>
          </w:p>
        </w:tc>
        <w:tc>
          <w:tcPr>
            <w:tcW w:w="348"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71%</w:t>
            </w: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2,720.90</w:t>
            </w:r>
          </w:p>
        </w:tc>
        <w:tc>
          <w:tcPr>
            <w:tcW w:w="573"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10%</w:t>
            </w: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2,448.81</w:t>
            </w:r>
          </w:p>
        </w:tc>
        <w:tc>
          <w:tcPr>
            <w:tcW w:w="424" w:type="pct"/>
            <w:shd w:val="clear" w:color="auto" w:fill="auto"/>
            <w:vAlign w:val="center"/>
            <w:hideMark/>
          </w:tcPr>
          <w:p w:rsidR="0041288F" w:rsidRPr="0041288F" w:rsidRDefault="0041288F" w:rsidP="00735CAB">
            <w:pPr>
              <w:spacing w:line="240" w:lineRule="auto"/>
              <w:jc w:val="right"/>
              <w:rPr>
                <w:sz w:val="22"/>
                <w:szCs w:val="22"/>
                <w:lang w:val="en-IN" w:eastAsia="en-IN"/>
              </w:rPr>
            </w:pPr>
            <w:r w:rsidRPr="0041288F">
              <w:rPr>
                <w:sz w:val="22"/>
                <w:szCs w:val="22"/>
                <w:lang w:val="en-IN" w:eastAsia="en-IN"/>
              </w:rPr>
              <w:t>46.77</w:t>
            </w:r>
          </w:p>
        </w:tc>
      </w:tr>
      <w:tr w:rsidR="0041288F" w:rsidRPr="0041288F" w:rsidTr="0041288F">
        <w:trPr>
          <w:trHeight w:val="20"/>
        </w:trPr>
        <w:tc>
          <w:tcPr>
            <w:tcW w:w="290" w:type="pct"/>
            <w:shd w:val="clear" w:color="auto" w:fill="auto"/>
            <w:hideMark/>
          </w:tcPr>
          <w:p w:rsidR="0041288F" w:rsidRPr="0041288F" w:rsidRDefault="0041288F" w:rsidP="0041288F">
            <w:pPr>
              <w:spacing w:line="240" w:lineRule="auto"/>
              <w:jc w:val="center"/>
              <w:rPr>
                <w:sz w:val="22"/>
                <w:szCs w:val="22"/>
                <w:lang w:val="en-IN" w:eastAsia="en-IN"/>
              </w:rPr>
            </w:pPr>
            <w:r w:rsidRPr="0041288F">
              <w:rPr>
                <w:sz w:val="22"/>
                <w:szCs w:val="22"/>
                <w:lang w:val="en-IN" w:eastAsia="en-IN"/>
              </w:rPr>
              <w:t> </w:t>
            </w:r>
          </w:p>
        </w:tc>
        <w:tc>
          <w:tcPr>
            <w:tcW w:w="1109" w:type="pct"/>
            <w:shd w:val="clear" w:color="auto" w:fill="auto"/>
            <w:noWrap/>
            <w:vAlign w:val="bottom"/>
            <w:hideMark/>
          </w:tcPr>
          <w:p w:rsidR="0041288F" w:rsidRPr="0041288F" w:rsidRDefault="0041288F" w:rsidP="0041288F">
            <w:pPr>
              <w:spacing w:line="240" w:lineRule="auto"/>
              <w:jc w:val="left"/>
              <w:rPr>
                <w:sz w:val="22"/>
                <w:szCs w:val="22"/>
                <w:lang w:val="en-IN" w:eastAsia="en-IN"/>
              </w:rPr>
            </w:pPr>
            <w:r w:rsidRPr="0041288F">
              <w:rPr>
                <w:sz w:val="22"/>
                <w:szCs w:val="22"/>
                <w:lang w:val="en-IN" w:eastAsia="en-IN"/>
              </w:rPr>
              <w:t>KAPS Stage I</w:t>
            </w:r>
          </w:p>
        </w:tc>
        <w:tc>
          <w:tcPr>
            <w:tcW w:w="451"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440</w:t>
            </w:r>
          </w:p>
        </w:tc>
        <w:tc>
          <w:tcPr>
            <w:tcW w:w="420" w:type="pct"/>
            <w:shd w:val="clear" w:color="auto" w:fill="auto"/>
            <w:noWrap/>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4.66</w:t>
            </w:r>
          </w:p>
        </w:tc>
        <w:tc>
          <w:tcPr>
            <w:tcW w:w="372"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20.50</w:t>
            </w:r>
          </w:p>
        </w:tc>
        <w:tc>
          <w:tcPr>
            <w:tcW w:w="348"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85%</w:t>
            </w: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3,283.18</w:t>
            </w:r>
          </w:p>
        </w:tc>
        <w:tc>
          <w:tcPr>
            <w:tcW w:w="573"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10%</w:t>
            </w: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2,954.86</w:t>
            </w:r>
          </w:p>
        </w:tc>
        <w:tc>
          <w:tcPr>
            <w:tcW w:w="424" w:type="pct"/>
            <w:shd w:val="clear" w:color="auto" w:fill="auto"/>
            <w:vAlign w:val="center"/>
            <w:hideMark/>
          </w:tcPr>
          <w:p w:rsidR="0041288F" w:rsidRPr="0041288F" w:rsidRDefault="0041288F" w:rsidP="00735CAB">
            <w:pPr>
              <w:spacing w:line="240" w:lineRule="auto"/>
              <w:jc w:val="right"/>
              <w:rPr>
                <w:sz w:val="22"/>
                <w:szCs w:val="22"/>
                <w:lang w:val="en-IN" w:eastAsia="en-IN"/>
              </w:rPr>
            </w:pPr>
            <w:r w:rsidRPr="0041288F">
              <w:rPr>
                <w:sz w:val="22"/>
                <w:szCs w:val="22"/>
                <w:lang w:val="en-IN" w:eastAsia="en-IN"/>
              </w:rPr>
              <w:t>137.70</w:t>
            </w:r>
          </w:p>
        </w:tc>
      </w:tr>
      <w:tr w:rsidR="0041288F" w:rsidRPr="0041288F" w:rsidTr="0041288F">
        <w:trPr>
          <w:trHeight w:val="20"/>
        </w:trPr>
        <w:tc>
          <w:tcPr>
            <w:tcW w:w="290" w:type="pct"/>
            <w:shd w:val="clear" w:color="auto" w:fill="auto"/>
            <w:hideMark/>
          </w:tcPr>
          <w:p w:rsidR="0041288F" w:rsidRPr="0041288F" w:rsidRDefault="0041288F" w:rsidP="0041288F">
            <w:pPr>
              <w:spacing w:line="240" w:lineRule="auto"/>
              <w:jc w:val="center"/>
              <w:rPr>
                <w:sz w:val="22"/>
                <w:szCs w:val="22"/>
                <w:lang w:val="en-IN" w:eastAsia="en-IN"/>
              </w:rPr>
            </w:pPr>
            <w:r w:rsidRPr="0041288F">
              <w:rPr>
                <w:sz w:val="22"/>
                <w:szCs w:val="22"/>
                <w:lang w:val="en-IN" w:eastAsia="en-IN"/>
              </w:rPr>
              <w:t> </w:t>
            </w:r>
          </w:p>
        </w:tc>
        <w:tc>
          <w:tcPr>
            <w:tcW w:w="1109" w:type="pct"/>
            <w:shd w:val="clear" w:color="auto" w:fill="auto"/>
            <w:noWrap/>
            <w:vAlign w:val="bottom"/>
            <w:hideMark/>
          </w:tcPr>
          <w:p w:rsidR="0041288F" w:rsidRPr="0041288F" w:rsidRDefault="0041288F" w:rsidP="0041288F">
            <w:pPr>
              <w:spacing w:line="240" w:lineRule="auto"/>
              <w:jc w:val="left"/>
              <w:rPr>
                <w:sz w:val="22"/>
                <w:szCs w:val="22"/>
                <w:lang w:val="en-IN" w:eastAsia="en-IN"/>
              </w:rPr>
            </w:pPr>
            <w:r w:rsidRPr="0041288F">
              <w:rPr>
                <w:sz w:val="22"/>
                <w:szCs w:val="22"/>
                <w:lang w:val="en-IN" w:eastAsia="en-IN"/>
              </w:rPr>
              <w:t>KAPS Stage II</w:t>
            </w:r>
          </w:p>
        </w:tc>
        <w:tc>
          <w:tcPr>
            <w:tcW w:w="451"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440</w:t>
            </w:r>
          </w:p>
        </w:tc>
        <w:tc>
          <w:tcPr>
            <w:tcW w:w="420" w:type="pct"/>
            <w:shd w:val="clear" w:color="auto" w:fill="auto"/>
            <w:noWrap/>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4.20</w:t>
            </w:r>
          </w:p>
        </w:tc>
        <w:tc>
          <w:tcPr>
            <w:tcW w:w="372"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18.48</w:t>
            </w:r>
          </w:p>
        </w:tc>
        <w:tc>
          <w:tcPr>
            <w:tcW w:w="348"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86%</w:t>
            </w: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3,322.80</w:t>
            </w:r>
          </w:p>
        </w:tc>
        <w:tc>
          <w:tcPr>
            <w:tcW w:w="573"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10%</w:t>
            </w: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2,990.52</w:t>
            </w:r>
          </w:p>
        </w:tc>
        <w:tc>
          <w:tcPr>
            <w:tcW w:w="424" w:type="pct"/>
            <w:shd w:val="clear" w:color="auto" w:fill="auto"/>
            <w:vAlign w:val="center"/>
            <w:hideMark/>
          </w:tcPr>
          <w:p w:rsidR="0041288F" w:rsidRPr="0041288F" w:rsidRDefault="0041288F" w:rsidP="00735CAB">
            <w:pPr>
              <w:spacing w:line="240" w:lineRule="auto"/>
              <w:jc w:val="right"/>
              <w:rPr>
                <w:sz w:val="22"/>
                <w:szCs w:val="22"/>
                <w:lang w:val="en-IN" w:eastAsia="en-IN"/>
              </w:rPr>
            </w:pPr>
            <w:r w:rsidRPr="0041288F">
              <w:rPr>
                <w:sz w:val="22"/>
                <w:szCs w:val="22"/>
                <w:lang w:val="en-IN" w:eastAsia="en-IN"/>
              </w:rPr>
              <w:t>125.60</w:t>
            </w:r>
          </w:p>
        </w:tc>
      </w:tr>
      <w:tr w:rsidR="0041288F" w:rsidRPr="0041288F" w:rsidTr="0041288F">
        <w:trPr>
          <w:trHeight w:val="20"/>
        </w:trPr>
        <w:tc>
          <w:tcPr>
            <w:tcW w:w="290" w:type="pct"/>
            <w:shd w:val="clear" w:color="auto" w:fill="auto"/>
            <w:hideMark/>
          </w:tcPr>
          <w:p w:rsidR="0041288F" w:rsidRPr="0041288F" w:rsidRDefault="0041288F" w:rsidP="0041288F">
            <w:pPr>
              <w:spacing w:line="240" w:lineRule="auto"/>
              <w:jc w:val="center"/>
              <w:rPr>
                <w:sz w:val="22"/>
                <w:szCs w:val="22"/>
                <w:lang w:val="en-IN" w:eastAsia="en-IN"/>
              </w:rPr>
            </w:pPr>
            <w:r w:rsidRPr="0041288F">
              <w:rPr>
                <w:sz w:val="22"/>
                <w:szCs w:val="22"/>
                <w:lang w:val="en-IN" w:eastAsia="en-IN"/>
              </w:rPr>
              <w:t> </w:t>
            </w:r>
          </w:p>
        </w:tc>
        <w:tc>
          <w:tcPr>
            <w:tcW w:w="1109" w:type="pct"/>
            <w:shd w:val="clear" w:color="auto" w:fill="auto"/>
            <w:noWrap/>
            <w:vAlign w:val="bottom"/>
            <w:hideMark/>
          </w:tcPr>
          <w:p w:rsidR="0041288F" w:rsidRPr="0041288F" w:rsidRDefault="0041288F" w:rsidP="0041288F">
            <w:pPr>
              <w:spacing w:line="240" w:lineRule="auto"/>
              <w:jc w:val="left"/>
              <w:rPr>
                <w:sz w:val="22"/>
                <w:szCs w:val="22"/>
                <w:lang w:val="en-IN" w:eastAsia="en-IN"/>
              </w:rPr>
            </w:pPr>
            <w:r w:rsidRPr="0041288F">
              <w:rPr>
                <w:sz w:val="22"/>
                <w:szCs w:val="22"/>
                <w:lang w:val="en-IN" w:eastAsia="en-IN"/>
              </w:rPr>
              <w:t>Kudankulam U1</w:t>
            </w:r>
          </w:p>
        </w:tc>
        <w:tc>
          <w:tcPr>
            <w:tcW w:w="451"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1,000</w:t>
            </w:r>
          </w:p>
        </w:tc>
        <w:tc>
          <w:tcPr>
            <w:tcW w:w="420" w:type="pct"/>
            <w:shd w:val="clear" w:color="auto" w:fill="auto"/>
            <w:noWrap/>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3.69</w:t>
            </w:r>
          </w:p>
        </w:tc>
        <w:tc>
          <w:tcPr>
            <w:tcW w:w="372"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36.90</w:t>
            </w:r>
          </w:p>
        </w:tc>
        <w:tc>
          <w:tcPr>
            <w:tcW w:w="348"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44%</w:t>
            </w: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3,828.12</w:t>
            </w:r>
          </w:p>
        </w:tc>
        <w:tc>
          <w:tcPr>
            <w:tcW w:w="573"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10%</w:t>
            </w: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3,445.31</w:t>
            </w:r>
          </w:p>
        </w:tc>
        <w:tc>
          <w:tcPr>
            <w:tcW w:w="424" w:type="pct"/>
            <w:shd w:val="clear" w:color="auto" w:fill="auto"/>
            <w:vAlign w:val="center"/>
            <w:hideMark/>
          </w:tcPr>
          <w:p w:rsidR="0041288F" w:rsidRPr="0041288F" w:rsidRDefault="0041288F" w:rsidP="00735CAB">
            <w:pPr>
              <w:spacing w:line="240" w:lineRule="auto"/>
              <w:jc w:val="right"/>
              <w:rPr>
                <w:sz w:val="22"/>
                <w:szCs w:val="22"/>
                <w:lang w:val="en-IN" w:eastAsia="en-IN"/>
              </w:rPr>
            </w:pPr>
            <w:r w:rsidRPr="0041288F">
              <w:rPr>
                <w:sz w:val="22"/>
                <w:szCs w:val="22"/>
                <w:lang w:val="en-IN" w:eastAsia="en-IN"/>
              </w:rPr>
              <w:t>127.13</w:t>
            </w:r>
          </w:p>
        </w:tc>
      </w:tr>
      <w:tr w:rsidR="0041288F" w:rsidRPr="0041288F" w:rsidTr="0041288F">
        <w:trPr>
          <w:trHeight w:val="20"/>
        </w:trPr>
        <w:tc>
          <w:tcPr>
            <w:tcW w:w="290" w:type="pct"/>
            <w:shd w:val="clear" w:color="auto" w:fill="auto"/>
            <w:hideMark/>
          </w:tcPr>
          <w:p w:rsidR="0041288F" w:rsidRPr="0041288F" w:rsidRDefault="0041288F" w:rsidP="0041288F">
            <w:pPr>
              <w:spacing w:line="240" w:lineRule="auto"/>
              <w:jc w:val="center"/>
              <w:rPr>
                <w:sz w:val="22"/>
                <w:szCs w:val="22"/>
                <w:lang w:val="en-IN" w:eastAsia="en-IN"/>
              </w:rPr>
            </w:pPr>
            <w:r w:rsidRPr="0041288F">
              <w:rPr>
                <w:sz w:val="22"/>
                <w:szCs w:val="22"/>
                <w:lang w:val="en-IN" w:eastAsia="en-IN"/>
              </w:rPr>
              <w:t> </w:t>
            </w:r>
          </w:p>
        </w:tc>
        <w:tc>
          <w:tcPr>
            <w:tcW w:w="1109" w:type="pct"/>
            <w:shd w:val="clear" w:color="auto" w:fill="auto"/>
            <w:noWrap/>
            <w:vAlign w:val="bottom"/>
            <w:hideMark/>
          </w:tcPr>
          <w:p w:rsidR="0041288F" w:rsidRPr="0041288F" w:rsidRDefault="0041288F" w:rsidP="0041288F">
            <w:pPr>
              <w:spacing w:line="240" w:lineRule="auto"/>
              <w:jc w:val="left"/>
              <w:rPr>
                <w:sz w:val="22"/>
                <w:szCs w:val="22"/>
                <w:lang w:val="en-IN" w:eastAsia="en-IN"/>
              </w:rPr>
            </w:pPr>
            <w:r w:rsidRPr="0041288F">
              <w:rPr>
                <w:sz w:val="22"/>
                <w:szCs w:val="22"/>
                <w:lang w:val="en-IN" w:eastAsia="en-IN"/>
              </w:rPr>
              <w:t>Kudankulam U2</w:t>
            </w:r>
          </w:p>
        </w:tc>
        <w:tc>
          <w:tcPr>
            <w:tcW w:w="451"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1,000</w:t>
            </w:r>
          </w:p>
        </w:tc>
        <w:tc>
          <w:tcPr>
            <w:tcW w:w="420" w:type="pct"/>
            <w:shd w:val="clear" w:color="auto" w:fill="auto"/>
            <w:noWrap/>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3.35</w:t>
            </w:r>
          </w:p>
        </w:tc>
        <w:tc>
          <w:tcPr>
            <w:tcW w:w="372"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33.50</w:t>
            </w:r>
          </w:p>
        </w:tc>
        <w:tc>
          <w:tcPr>
            <w:tcW w:w="348"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60%</w:t>
            </w: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5,256.00</w:t>
            </w:r>
          </w:p>
        </w:tc>
        <w:tc>
          <w:tcPr>
            <w:tcW w:w="573"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10%</w:t>
            </w: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4,730.40</w:t>
            </w:r>
          </w:p>
        </w:tc>
        <w:tc>
          <w:tcPr>
            <w:tcW w:w="424" w:type="pct"/>
            <w:shd w:val="clear" w:color="auto" w:fill="auto"/>
            <w:vAlign w:val="center"/>
            <w:hideMark/>
          </w:tcPr>
          <w:p w:rsidR="0041288F" w:rsidRPr="0041288F" w:rsidRDefault="0041288F" w:rsidP="00735CAB">
            <w:pPr>
              <w:spacing w:line="240" w:lineRule="auto"/>
              <w:jc w:val="right"/>
              <w:rPr>
                <w:sz w:val="22"/>
                <w:szCs w:val="22"/>
                <w:lang w:val="en-IN" w:eastAsia="en-IN"/>
              </w:rPr>
            </w:pPr>
            <w:r w:rsidRPr="0041288F">
              <w:rPr>
                <w:sz w:val="22"/>
                <w:szCs w:val="22"/>
                <w:lang w:val="en-IN" w:eastAsia="en-IN"/>
              </w:rPr>
              <w:t>158.47</w:t>
            </w:r>
          </w:p>
        </w:tc>
      </w:tr>
      <w:tr w:rsidR="0041288F" w:rsidRPr="0041288F" w:rsidTr="0041288F">
        <w:trPr>
          <w:trHeight w:val="20"/>
        </w:trPr>
        <w:tc>
          <w:tcPr>
            <w:tcW w:w="290" w:type="pct"/>
            <w:shd w:val="clear" w:color="auto" w:fill="auto"/>
            <w:hideMark/>
          </w:tcPr>
          <w:p w:rsidR="0041288F" w:rsidRPr="0041288F" w:rsidRDefault="0041288F" w:rsidP="0041288F">
            <w:pPr>
              <w:spacing w:line="240" w:lineRule="auto"/>
              <w:jc w:val="center"/>
              <w:rPr>
                <w:sz w:val="22"/>
                <w:szCs w:val="22"/>
                <w:lang w:val="en-IN" w:eastAsia="en-IN"/>
              </w:rPr>
            </w:pPr>
            <w:r w:rsidRPr="0041288F">
              <w:rPr>
                <w:sz w:val="22"/>
                <w:szCs w:val="22"/>
                <w:lang w:val="en-IN" w:eastAsia="en-IN"/>
              </w:rPr>
              <w:t> </w:t>
            </w:r>
          </w:p>
        </w:tc>
        <w:tc>
          <w:tcPr>
            <w:tcW w:w="1109" w:type="pct"/>
            <w:shd w:val="clear" w:color="auto" w:fill="auto"/>
            <w:noWrap/>
            <w:vAlign w:val="bottom"/>
            <w:hideMark/>
          </w:tcPr>
          <w:p w:rsidR="0041288F" w:rsidRPr="0041288F" w:rsidRDefault="0041288F" w:rsidP="0041288F">
            <w:pPr>
              <w:spacing w:line="240" w:lineRule="auto"/>
              <w:jc w:val="left"/>
              <w:rPr>
                <w:sz w:val="22"/>
                <w:szCs w:val="22"/>
                <w:lang w:val="en-IN" w:eastAsia="en-IN"/>
              </w:rPr>
            </w:pPr>
            <w:r w:rsidRPr="0041288F">
              <w:rPr>
                <w:sz w:val="22"/>
                <w:szCs w:val="22"/>
                <w:lang w:val="en-IN" w:eastAsia="en-IN"/>
              </w:rPr>
              <w:t> </w:t>
            </w:r>
          </w:p>
        </w:tc>
        <w:tc>
          <w:tcPr>
            <w:tcW w:w="451"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p>
        </w:tc>
        <w:tc>
          <w:tcPr>
            <w:tcW w:w="420" w:type="pct"/>
            <w:shd w:val="clear" w:color="auto" w:fill="auto"/>
            <w:noWrap/>
            <w:vAlign w:val="center"/>
            <w:hideMark/>
          </w:tcPr>
          <w:p w:rsidR="0041288F" w:rsidRPr="0041288F" w:rsidRDefault="0041288F" w:rsidP="00735CAB">
            <w:pPr>
              <w:spacing w:line="240" w:lineRule="auto"/>
              <w:jc w:val="right"/>
              <w:rPr>
                <w:i/>
                <w:iCs/>
                <w:sz w:val="22"/>
                <w:szCs w:val="22"/>
                <w:lang w:val="en-IN" w:eastAsia="en-IN"/>
              </w:rPr>
            </w:pPr>
          </w:p>
        </w:tc>
        <w:tc>
          <w:tcPr>
            <w:tcW w:w="372"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p>
        </w:tc>
        <w:tc>
          <w:tcPr>
            <w:tcW w:w="348"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p>
        </w:tc>
        <w:tc>
          <w:tcPr>
            <w:tcW w:w="573"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p>
        </w:tc>
        <w:tc>
          <w:tcPr>
            <w:tcW w:w="424"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r>
      <w:tr w:rsidR="0041288F" w:rsidRPr="0041288F" w:rsidTr="0041288F">
        <w:trPr>
          <w:trHeight w:val="20"/>
        </w:trPr>
        <w:tc>
          <w:tcPr>
            <w:tcW w:w="290" w:type="pct"/>
            <w:shd w:val="clear" w:color="auto" w:fill="auto"/>
            <w:hideMark/>
          </w:tcPr>
          <w:p w:rsidR="0041288F" w:rsidRPr="0041288F" w:rsidRDefault="0041288F" w:rsidP="0041288F">
            <w:pPr>
              <w:spacing w:line="240" w:lineRule="auto"/>
              <w:jc w:val="center"/>
              <w:rPr>
                <w:b/>
                <w:bCs/>
                <w:sz w:val="22"/>
                <w:szCs w:val="22"/>
                <w:lang w:val="en-IN" w:eastAsia="en-IN"/>
              </w:rPr>
            </w:pPr>
            <w:r w:rsidRPr="0041288F">
              <w:rPr>
                <w:b/>
                <w:bCs/>
                <w:sz w:val="22"/>
                <w:szCs w:val="22"/>
                <w:lang w:val="en-IN" w:eastAsia="en-IN"/>
              </w:rPr>
              <w:t>IV</w:t>
            </w:r>
          </w:p>
        </w:tc>
        <w:tc>
          <w:tcPr>
            <w:tcW w:w="1109" w:type="pct"/>
            <w:shd w:val="clear" w:color="auto" w:fill="auto"/>
            <w:hideMark/>
          </w:tcPr>
          <w:p w:rsidR="0041288F" w:rsidRPr="0041288F" w:rsidRDefault="0041288F" w:rsidP="0041288F">
            <w:pPr>
              <w:spacing w:line="240" w:lineRule="auto"/>
              <w:ind w:firstLineChars="100" w:firstLine="221"/>
              <w:jc w:val="left"/>
              <w:rPr>
                <w:b/>
                <w:bCs/>
                <w:i/>
                <w:iCs/>
                <w:sz w:val="22"/>
                <w:szCs w:val="22"/>
                <w:lang w:val="en-IN" w:eastAsia="en-IN"/>
              </w:rPr>
            </w:pPr>
            <w:r w:rsidRPr="0041288F">
              <w:rPr>
                <w:b/>
                <w:bCs/>
                <w:i/>
                <w:iCs/>
                <w:sz w:val="22"/>
                <w:szCs w:val="22"/>
                <w:lang w:val="en-IN" w:eastAsia="en-IN"/>
              </w:rPr>
              <w:t>Others</w:t>
            </w:r>
          </w:p>
        </w:tc>
        <w:tc>
          <w:tcPr>
            <w:tcW w:w="451"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r w:rsidRPr="0041288F">
              <w:rPr>
                <w:b/>
                <w:bCs/>
                <w:sz w:val="22"/>
                <w:szCs w:val="22"/>
                <w:lang w:val="en-IN" w:eastAsia="en-IN"/>
              </w:rPr>
              <w:t>2,500.00</w:t>
            </w:r>
          </w:p>
        </w:tc>
        <w:tc>
          <w:tcPr>
            <w:tcW w:w="420" w:type="pct"/>
            <w:shd w:val="clear" w:color="auto" w:fill="auto"/>
            <w:noWrap/>
            <w:vAlign w:val="center"/>
            <w:hideMark/>
          </w:tcPr>
          <w:p w:rsidR="0041288F" w:rsidRPr="0041288F" w:rsidRDefault="0041288F" w:rsidP="00735CAB">
            <w:pPr>
              <w:spacing w:line="240" w:lineRule="auto"/>
              <w:jc w:val="right"/>
              <w:rPr>
                <w:i/>
                <w:iCs/>
                <w:sz w:val="22"/>
                <w:szCs w:val="22"/>
                <w:lang w:val="en-IN" w:eastAsia="en-IN"/>
              </w:rPr>
            </w:pPr>
          </w:p>
        </w:tc>
        <w:tc>
          <w:tcPr>
            <w:tcW w:w="372"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r w:rsidRPr="0041288F">
              <w:rPr>
                <w:b/>
                <w:bCs/>
                <w:sz w:val="22"/>
                <w:szCs w:val="22"/>
                <w:lang w:val="en-IN" w:eastAsia="en-IN"/>
              </w:rPr>
              <w:t>87.57</w:t>
            </w:r>
          </w:p>
        </w:tc>
        <w:tc>
          <w:tcPr>
            <w:tcW w:w="348"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w:t>
            </w:r>
          </w:p>
        </w:tc>
        <w:tc>
          <w:tcPr>
            <w:tcW w:w="573"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w:t>
            </w:r>
          </w:p>
        </w:tc>
        <w:tc>
          <w:tcPr>
            <w:tcW w:w="424"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r w:rsidRPr="0041288F">
              <w:rPr>
                <w:b/>
                <w:bCs/>
                <w:sz w:val="22"/>
                <w:szCs w:val="22"/>
                <w:lang w:val="en-IN" w:eastAsia="en-IN"/>
              </w:rPr>
              <w:t>307.08</w:t>
            </w:r>
          </w:p>
        </w:tc>
      </w:tr>
      <w:tr w:rsidR="0041288F" w:rsidRPr="0041288F" w:rsidTr="0041288F">
        <w:trPr>
          <w:trHeight w:val="20"/>
        </w:trPr>
        <w:tc>
          <w:tcPr>
            <w:tcW w:w="290" w:type="pct"/>
            <w:shd w:val="clear" w:color="auto" w:fill="auto"/>
            <w:hideMark/>
          </w:tcPr>
          <w:p w:rsidR="0041288F" w:rsidRPr="0041288F" w:rsidRDefault="0041288F" w:rsidP="0041288F">
            <w:pPr>
              <w:spacing w:line="240" w:lineRule="auto"/>
              <w:jc w:val="center"/>
              <w:rPr>
                <w:sz w:val="22"/>
                <w:szCs w:val="22"/>
                <w:lang w:val="en-IN" w:eastAsia="en-IN"/>
              </w:rPr>
            </w:pPr>
            <w:r w:rsidRPr="0041288F">
              <w:rPr>
                <w:sz w:val="22"/>
                <w:szCs w:val="22"/>
                <w:lang w:val="en-IN" w:eastAsia="en-IN"/>
              </w:rPr>
              <w:t> </w:t>
            </w:r>
          </w:p>
        </w:tc>
        <w:tc>
          <w:tcPr>
            <w:tcW w:w="1109" w:type="pct"/>
            <w:shd w:val="clear" w:color="auto" w:fill="auto"/>
            <w:noWrap/>
            <w:vAlign w:val="bottom"/>
            <w:hideMark/>
          </w:tcPr>
          <w:p w:rsidR="0041288F" w:rsidRPr="0041288F" w:rsidRDefault="0041288F" w:rsidP="0041288F">
            <w:pPr>
              <w:spacing w:line="240" w:lineRule="auto"/>
              <w:jc w:val="left"/>
              <w:rPr>
                <w:sz w:val="22"/>
                <w:szCs w:val="22"/>
                <w:lang w:val="en-IN" w:eastAsia="en-IN"/>
              </w:rPr>
            </w:pPr>
            <w:r w:rsidRPr="0041288F">
              <w:rPr>
                <w:sz w:val="22"/>
                <w:szCs w:val="22"/>
                <w:lang w:val="en-IN" w:eastAsia="en-IN"/>
              </w:rPr>
              <w:t>TNEB (Karaikal)</w:t>
            </w:r>
          </w:p>
        </w:tc>
        <w:tc>
          <w:tcPr>
            <w:tcW w:w="451"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p>
        </w:tc>
        <w:tc>
          <w:tcPr>
            <w:tcW w:w="420" w:type="pct"/>
            <w:shd w:val="clear" w:color="auto" w:fill="auto"/>
            <w:noWrap/>
            <w:vAlign w:val="center"/>
            <w:hideMark/>
          </w:tcPr>
          <w:p w:rsidR="0041288F" w:rsidRPr="0041288F" w:rsidRDefault="0041288F" w:rsidP="00735CAB">
            <w:pPr>
              <w:spacing w:line="240" w:lineRule="auto"/>
              <w:jc w:val="right"/>
              <w:rPr>
                <w:i/>
                <w:iCs/>
                <w:sz w:val="22"/>
                <w:szCs w:val="22"/>
                <w:lang w:val="en-IN" w:eastAsia="en-IN"/>
              </w:rPr>
            </w:pPr>
          </w:p>
        </w:tc>
        <w:tc>
          <w:tcPr>
            <w:tcW w:w="372"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w:t>
            </w:r>
          </w:p>
        </w:tc>
        <w:tc>
          <w:tcPr>
            <w:tcW w:w="348"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w:t>
            </w:r>
          </w:p>
        </w:tc>
        <w:tc>
          <w:tcPr>
            <w:tcW w:w="573"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w:t>
            </w:r>
          </w:p>
        </w:tc>
        <w:tc>
          <w:tcPr>
            <w:tcW w:w="424" w:type="pct"/>
            <w:shd w:val="clear" w:color="auto" w:fill="auto"/>
            <w:vAlign w:val="center"/>
            <w:hideMark/>
          </w:tcPr>
          <w:p w:rsidR="0041288F" w:rsidRPr="0041288F" w:rsidRDefault="0041288F" w:rsidP="00735CAB">
            <w:pPr>
              <w:spacing w:line="240" w:lineRule="auto"/>
              <w:jc w:val="right"/>
              <w:rPr>
                <w:sz w:val="22"/>
                <w:szCs w:val="22"/>
                <w:lang w:val="en-IN" w:eastAsia="en-IN"/>
              </w:rPr>
            </w:pPr>
            <w:r w:rsidRPr="0041288F">
              <w:rPr>
                <w:sz w:val="22"/>
                <w:szCs w:val="22"/>
                <w:lang w:val="en-IN" w:eastAsia="en-IN"/>
              </w:rPr>
              <w:t>150.00</w:t>
            </w:r>
          </w:p>
        </w:tc>
      </w:tr>
      <w:tr w:rsidR="0041288F" w:rsidRPr="0041288F" w:rsidTr="0041288F">
        <w:trPr>
          <w:trHeight w:val="20"/>
        </w:trPr>
        <w:tc>
          <w:tcPr>
            <w:tcW w:w="290" w:type="pct"/>
            <w:shd w:val="clear" w:color="auto" w:fill="auto"/>
            <w:hideMark/>
          </w:tcPr>
          <w:p w:rsidR="0041288F" w:rsidRPr="0041288F" w:rsidRDefault="0041288F" w:rsidP="0041288F">
            <w:pPr>
              <w:spacing w:line="240" w:lineRule="auto"/>
              <w:jc w:val="center"/>
              <w:rPr>
                <w:sz w:val="22"/>
                <w:szCs w:val="22"/>
                <w:lang w:val="en-IN" w:eastAsia="en-IN"/>
              </w:rPr>
            </w:pPr>
            <w:r w:rsidRPr="0041288F">
              <w:rPr>
                <w:sz w:val="22"/>
                <w:szCs w:val="22"/>
                <w:lang w:val="en-IN" w:eastAsia="en-IN"/>
              </w:rPr>
              <w:t> </w:t>
            </w:r>
          </w:p>
        </w:tc>
        <w:tc>
          <w:tcPr>
            <w:tcW w:w="1109" w:type="pct"/>
            <w:shd w:val="clear" w:color="auto" w:fill="auto"/>
            <w:noWrap/>
            <w:vAlign w:val="bottom"/>
            <w:hideMark/>
          </w:tcPr>
          <w:p w:rsidR="0041288F" w:rsidRPr="0041288F" w:rsidRDefault="0041288F" w:rsidP="0041288F">
            <w:pPr>
              <w:spacing w:line="240" w:lineRule="auto"/>
              <w:jc w:val="left"/>
              <w:rPr>
                <w:sz w:val="22"/>
                <w:szCs w:val="22"/>
                <w:lang w:val="en-IN" w:eastAsia="en-IN"/>
              </w:rPr>
            </w:pPr>
            <w:r w:rsidRPr="0041288F">
              <w:rPr>
                <w:sz w:val="22"/>
                <w:szCs w:val="22"/>
                <w:lang w:val="en-IN" w:eastAsia="en-IN"/>
              </w:rPr>
              <w:t>Vallur Thermal Project</w:t>
            </w:r>
          </w:p>
        </w:tc>
        <w:tc>
          <w:tcPr>
            <w:tcW w:w="451"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1,500</w:t>
            </w:r>
          </w:p>
        </w:tc>
        <w:tc>
          <w:tcPr>
            <w:tcW w:w="420" w:type="pct"/>
            <w:shd w:val="clear" w:color="auto" w:fill="auto"/>
            <w:noWrap/>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2.02</w:t>
            </w:r>
          </w:p>
        </w:tc>
        <w:tc>
          <w:tcPr>
            <w:tcW w:w="372"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30.33</w:t>
            </w:r>
          </w:p>
        </w:tc>
        <w:tc>
          <w:tcPr>
            <w:tcW w:w="348"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63%</w:t>
            </w: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8,325.50</w:t>
            </w:r>
          </w:p>
        </w:tc>
        <w:tc>
          <w:tcPr>
            <w:tcW w:w="573"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7%</w:t>
            </w: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7,768.53</w:t>
            </w:r>
          </w:p>
        </w:tc>
        <w:tc>
          <w:tcPr>
            <w:tcW w:w="424" w:type="pct"/>
            <w:shd w:val="clear" w:color="auto" w:fill="auto"/>
            <w:vAlign w:val="center"/>
            <w:hideMark/>
          </w:tcPr>
          <w:p w:rsidR="0041288F" w:rsidRPr="0041288F" w:rsidRDefault="0041288F" w:rsidP="00735CAB">
            <w:pPr>
              <w:spacing w:line="240" w:lineRule="auto"/>
              <w:jc w:val="right"/>
              <w:rPr>
                <w:sz w:val="22"/>
                <w:szCs w:val="22"/>
                <w:lang w:val="en-IN" w:eastAsia="en-IN"/>
              </w:rPr>
            </w:pPr>
            <w:r w:rsidRPr="0041288F">
              <w:rPr>
                <w:sz w:val="22"/>
                <w:szCs w:val="22"/>
                <w:lang w:val="en-IN" w:eastAsia="en-IN"/>
              </w:rPr>
              <w:t>157.08</w:t>
            </w:r>
          </w:p>
        </w:tc>
      </w:tr>
      <w:tr w:rsidR="0041288F" w:rsidRPr="0041288F" w:rsidTr="0041288F">
        <w:trPr>
          <w:trHeight w:val="20"/>
        </w:trPr>
        <w:tc>
          <w:tcPr>
            <w:tcW w:w="290" w:type="pct"/>
            <w:shd w:val="clear" w:color="auto" w:fill="auto"/>
            <w:hideMark/>
          </w:tcPr>
          <w:p w:rsidR="0041288F" w:rsidRPr="0041288F" w:rsidRDefault="0041288F" w:rsidP="0041288F">
            <w:pPr>
              <w:spacing w:line="240" w:lineRule="auto"/>
              <w:jc w:val="center"/>
              <w:rPr>
                <w:sz w:val="22"/>
                <w:szCs w:val="22"/>
                <w:lang w:val="en-IN" w:eastAsia="en-IN"/>
              </w:rPr>
            </w:pPr>
            <w:r w:rsidRPr="0041288F">
              <w:rPr>
                <w:sz w:val="22"/>
                <w:szCs w:val="22"/>
                <w:lang w:val="en-IN" w:eastAsia="en-IN"/>
              </w:rPr>
              <w:t> </w:t>
            </w:r>
          </w:p>
        </w:tc>
        <w:tc>
          <w:tcPr>
            <w:tcW w:w="1109" w:type="pct"/>
            <w:shd w:val="clear" w:color="auto" w:fill="auto"/>
            <w:noWrap/>
            <w:vAlign w:val="bottom"/>
            <w:hideMark/>
          </w:tcPr>
          <w:p w:rsidR="0041288F" w:rsidRPr="0041288F" w:rsidRDefault="0041288F" w:rsidP="0041288F">
            <w:pPr>
              <w:spacing w:line="240" w:lineRule="auto"/>
              <w:jc w:val="left"/>
              <w:rPr>
                <w:sz w:val="22"/>
                <w:szCs w:val="22"/>
                <w:lang w:val="en-IN" w:eastAsia="en-IN"/>
              </w:rPr>
            </w:pPr>
            <w:r w:rsidRPr="0041288F">
              <w:rPr>
                <w:sz w:val="22"/>
                <w:szCs w:val="22"/>
                <w:lang w:val="en-IN" w:eastAsia="en-IN"/>
              </w:rPr>
              <w:t>New NLC TS-I</w:t>
            </w:r>
          </w:p>
        </w:tc>
        <w:tc>
          <w:tcPr>
            <w:tcW w:w="451"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1,000</w:t>
            </w:r>
          </w:p>
        </w:tc>
        <w:tc>
          <w:tcPr>
            <w:tcW w:w="420" w:type="pct"/>
            <w:shd w:val="clear" w:color="auto" w:fill="auto"/>
            <w:noWrap/>
            <w:vAlign w:val="center"/>
            <w:hideMark/>
          </w:tcPr>
          <w:p w:rsidR="0041288F" w:rsidRPr="0041288F" w:rsidRDefault="0041288F" w:rsidP="00735CAB">
            <w:pPr>
              <w:spacing w:line="240" w:lineRule="auto"/>
              <w:jc w:val="right"/>
              <w:rPr>
                <w:i/>
                <w:iCs/>
                <w:sz w:val="22"/>
                <w:szCs w:val="22"/>
                <w:lang w:val="en-IN" w:eastAsia="en-IN"/>
              </w:rPr>
            </w:pPr>
          </w:p>
        </w:tc>
        <w:tc>
          <w:tcPr>
            <w:tcW w:w="372"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57.24</w:t>
            </w:r>
          </w:p>
        </w:tc>
        <w:tc>
          <w:tcPr>
            <w:tcW w:w="348"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50%</w:t>
            </w: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4,380.00</w:t>
            </w:r>
          </w:p>
        </w:tc>
        <w:tc>
          <w:tcPr>
            <w:tcW w:w="573"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10%</w:t>
            </w: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3,942.00</w:t>
            </w:r>
          </w:p>
        </w:tc>
        <w:tc>
          <w:tcPr>
            <w:tcW w:w="424" w:type="pct"/>
            <w:shd w:val="clear" w:color="auto" w:fill="auto"/>
            <w:noWrap/>
            <w:vAlign w:val="center"/>
            <w:hideMark/>
          </w:tcPr>
          <w:p w:rsidR="0041288F" w:rsidRPr="0041288F" w:rsidRDefault="0041288F" w:rsidP="00735CAB">
            <w:pPr>
              <w:spacing w:line="240" w:lineRule="auto"/>
              <w:jc w:val="right"/>
              <w:rPr>
                <w:color w:val="000000"/>
                <w:sz w:val="22"/>
                <w:szCs w:val="22"/>
                <w:lang w:val="en-IN" w:eastAsia="en-IN"/>
              </w:rPr>
            </w:pPr>
            <w:r w:rsidRPr="0041288F">
              <w:rPr>
                <w:color w:val="000000"/>
                <w:sz w:val="22"/>
                <w:szCs w:val="22"/>
                <w:lang w:val="en-IN" w:eastAsia="en-IN"/>
              </w:rPr>
              <w:t>0</w:t>
            </w:r>
            <w:r>
              <w:rPr>
                <w:color w:val="000000"/>
                <w:sz w:val="22"/>
                <w:szCs w:val="22"/>
                <w:lang w:val="en-IN" w:eastAsia="en-IN"/>
              </w:rPr>
              <w:t>.00</w:t>
            </w:r>
          </w:p>
        </w:tc>
      </w:tr>
      <w:tr w:rsidR="0041288F" w:rsidRPr="0041288F" w:rsidTr="0041288F">
        <w:trPr>
          <w:trHeight w:val="20"/>
        </w:trPr>
        <w:tc>
          <w:tcPr>
            <w:tcW w:w="290" w:type="pct"/>
            <w:shd w:val="clear" w:color="auto" w:fill="auto"/>
            <w:hideMark/>
          </w:tcPr>
          <w:p w:rsidR="0041288F" w:rsidRPr="0041288F" w:rsidRDefault="0041288F" w:rsidP="0041288F">
            <w:pPr>
              <w:spacing w:line="240" w:lineRule="auto"/>
              <w:jc w:val="center"/>
              <w:rPr>
                <w:sz w:val="22"/>
                <w:szCs w:val="22"/>
                <w:lang w:val="en-IN" w:eastAsia="en-IN"/>
              </w:rPr>
            </w:pPr>
            <w:r w:rsidRPr="0041288F">
              <w:rPr>
                <w:sz w:val="22"/>
                <w:szCs w:val="22"/>
                <w:lang w:val="en-IN" w:eastAsia="en-IN"/>
              </w:rPr>
              <w:t> </w:t>
            </w:r>
          </w:p>
        </w:tc>
        <w:tc>
          <w:tcPr>
            <w:tcW w:w="1109" w:type="pct"/>
            <w:shd w:val="clear" w:color="auto" w:fill="auto"/>
            <w:noWrap/>
            <w:vAlign w:val="bottom"/>
            <w:hideMark/>
          </w:tcPr>
          <w:p w:rsidR="0041288F" w:rsidRPr="0041288F" w:rsidRDefault="0041288F" w:rsidP="0041288F">
            <w:pPr>
              <w:spacing w:line="240" w:lineRule="auto"/>
              <w:jc w:val="left"/>
              <w:rPr>
                <w:sz w:val="22"/>
                <w:szCs w:val="22"/>
                <w:lang w:val="en-IN" w:eastAsia="en-IN"/>
              </w:rPr>
            </w:pPr>
            <w:r w:rsidRPr="0041288F">
              <w:rPr>
                <w:sz w:val="22"/>
                <w:szCs w:val="22"/>
                <w:lang w:val="en-IN" w:eastAsia="en-IN"/>
              </w:rPr>
              <w:t> </w:t>
            </w:r>
          </w:p>
        </w:tc>
        <w:tc>
          <w:tcPr>
            <w:tcW w:w="451" w:type="pct"/>
            <w:shd w:val="clear" w:color="auto" w:fill="auto"/>
            <w:vAlign w:val="center"/>
            <w:hideMark/>
          </w:tcPr>
          <w:p w:rsidR="0041288F" w:rsidRPr="0041288F" w:rsidRDefault="0041288F" w:rsidP="0041288F">
            <w:pPr>
              <w:spacing w:line="240" w:lineRule="auto"/>
              <w:jc w:val="center"/>
              <w:rPr>
                <w:i/>
                <w:iCs/>
                <w:sz w:val="22"/>
                <w:szCs w:val="22"/>
                <w:lang w:val="en-IN" w:eastAsia="en-IN"/>
              </w:rPr>
            </w:pPr>
          </w:p>
        </w:tc>
        <w:tc>
          <w:tcPr>
            <w:tcW w:w="420" w:type="pct"/>
            <w:shd w:val="clear" w:color="auto" w:fill="auto"/>
            <w:noWrap/>
            <w:vAlign w:val="center"/>
            <w:hideMark/>
          </w:tcPr>
          <w:p w:rsidR="0041288F" w:rsidRPr="0041288F" w:rsidRDefault="0041288F" w:rsidP="0041288F">
            <w:pPr>
              <w:spacing w:line="240" w:lineRule="auto"/>
              <w:jc w:val="center"/>
              <w:rPr>
                <w:i/>
                <w:iCs/>
                <w:sz w:val="22"/>
                <w:szCs w:val="22"/>
                <w:lang w:val="en-IN" w:eastAsia="en-IN"/>
              </w:rPr>
            </w:pPr>
          </w:p>
        </w:tc>
        <w:tc>
          <w:tcPr>
            <w:tcW w:w="372" w:type="pct"/>
            <w:shd w:val="clear" w:color="auto" w:fill="auto"/>
            <w:vAlign w:val="center"/>
            <w:hideMark/>
          </w:tcPr>
          <w:p w:rsidR="0041288F" w:rsidRPr="0041288F" w:rsidRDefault="0041288F" w:rsidP="0041288F">
            <w:pPr>
              <w:spacing w:line="240" w:lineRule="auto"/>
              <w:jc w:val="center"/>
              <w:rPr>
                <w:i/>
                <w:iCs/>
                <w:sz w:val="22"/>
                <w:szCs w:val="22"/>
                <w:lang w:val="en-IN" w:eastAsia="en-IN"/>
              </w:rPr>
            </w:pPr>
          </w:p>
        </w:tc>
        <w:tc>
          <w:tcPr>
            <w:tcW w:w="348" w:type="pct"/>
            <w:shd w:val="clear" w:color="auto" w:fill="auto"/>
            <w:vAlign w:val="center"/>
            <w:hideMark/>
          </w:tcPr>
          <w:p w:rsidR="0041288F" w:rsidRPr="0041288F" w:rsidRDefault="0041288F" w:rsidP="0041288F">
            <w:pPr>
              <w:spacing w:line="240" w:lineRule="auto"/>
              <w:jc w:val="center"/>
              <w:rPr>
                <w:i/>
                <w:iCs/>
                <w:sz w:val="22"/>
                <w:szCs w:val="22"/>
                <w:lang w:val="en-IN" w:eastAsia="en-IN"/>
              </w:rPr>
            </w:pPr>
          </w:p>
        </w:tc>
        <w:tc>
          <w:tcPr>
            <w:tcW w:w="506" w:type="pct"/>
            <w:shd w:val="clear" w:color="auto" w:fill="auto"/>
            <w:vAlign w:val="center"/>
            <w:hideMark/>
          </w:tcPr>
          <w:p w:rsidR="0041288F" w:rsidRPr="0041288F" w:rsidRDefault="0041288F" w:rsidP="0041288F">
            <w:pPr>
              <w:spacing w:line="240" w:lineRule="auto"/>
              <w:jc w:val="center"/>
              <w:rPr>
                <w:i/>
                <w:iCs/>
                <w:sz w:val="22"/>
                <w:szCs w:val="22"/>
                <w:lang w:val="en-IN" w:eastAsia="en-IN"/>
              </w:rPr>
            </w:pPr>
          </w:p>
        </w:tc>
        <w:tc>
          <w:tcPr>
            <w:tcW w:w="573" w:type="pct"/>
            <w:shd w:val="clear" w:color="auto" w:fill="auto"/>
            <w:vAlign w:val="center"/>
            <w:hideMark/>
          </w:tcPr>
          <w:p w:rsidR="0041288F" w:rsidRPr="0041288F" w:rsidRDefault="0041288F" w:rsidP="0041288F">
            <w:pPr>
              <w:spacing w:line="240" w:lineRule="auto"/>
              <w:jc w:val="center"/>
              <w:rPr>
                <w:i/>
                <w:iCs/>
                <w:sz w:val="22"/>
                <w:szCs w:val="22"/>
                <w:lang w:val="en-IN" w:eastAsia="en-IN"/>
              </w:rPr>
            </w:pPr>
          </w:p>
        </w:tc>
        <w:tc>
          <w:tcPr>
            <w:tcW w:w="506" w:type="pct"/>
            <w:shd w:val="clear" w:color="auto" w:fill="auto"/>
            <w:vAlign w:val="center"/>
            <w:hideMark/>
          </w:tcPr>
          <w:p w:rsidR="0041288F" w:rsidRPr="0041288F" w:rsidRDefault="0041288F" w:rsidP="0041288F">
            <w:pPr>
              <w:spacing w:line="240" w:lineRule="auto"/>
              <w:jc w:val="center"/>
              <w:rPr>
                <w:i/>
                <w:iCs/>
                <w:sz w:val="22"/>
                <w:szCs w:val="22"/>
                <w:lang w:val="en-IN" w:eastAsia="en-IN"/>
              </w:rPr>
            </w:pPr>
          </w:p>
        </w:tc>
        <w:tc>
          <w:tcPr>
            <w:tcW w:w="424" w:type="pct"/>
            <w:shd w:val="clear" w:color="auto" w:fill="auto"/>
            <w:noWrap/>
            <w:vAlign w:val="center"/>
            <w:hideMark/>
          </w:tcPr>
          <w:p w:rsidR="0041288F" w:rsidRPr="0041288F" w:rsidRDefault="0041288F" w:rsidP="0041288F">
            <w:pPr>
              <w:spacing w:line="240" w:lineRule="auto"/>
              <w:jc w:val="center"/>
              <w:rPr>
                <w:i/>
                <w:iCs/>
                <w:sz w:val="22"/>
                <w:szCs w:val="22"/>
                <w:lang w:val="en-IN" w:eastAsia="en-IN"/>
              </w:rPr>
            </w:pPr>
          </w:p>
        </w:tc>
      </w:tr>
      <w:tr w:rsidR="0041288F" w:rsidRPr="0041288F" w:rsidTr="0041288F">
        <w:trPr>
          <w:trHeight w:val="20"/>
        </w:trPr>
        <w:tc>
          <w:tcPr>
            <w:tcW w:w="290" w:type="pct"/>
            <w:shd w:val="clear" w:color="auto" w:fill="auto"/>
            <w:hideMark/>
          </w:tcPr>
          <w:p w:rsidR="0041288F" w:rsidRPr="0041288F" w:rsidRDefault="0041288F" w:rsidP="0041288F">
            <w:pPr>
              <w:spacing w:line="240" w:lineRule="auto"/>
              <w:jc w:val="center"/>
              <w:rPr>
                <w:b/>
                <w:bCs/>
                <w:sz w:val="22"/>
                <w:szCs w:val="22"/>
                <w:lang w:val="en-IN" w:eastAsia="en-IN"/>
              </w:rPr>
            </w:pPr>
            <w:r w:rsidRPr="0041288F">
              <w:rPr>
                <w:b/>
                <w:bCs/>
                <w:sz w:val="22"/>
                <w:szCs w:val="22"/>
                <w:lang w:val="en-IN" w:eastAsia="en-IN"/>
              </w:rPr>
              <w:lastRenderedPageBreak/>
              <w:t>V</w:t>
            </w:r>
          </w:p>
        </w:tc>
        <w:tc>
          <w:tcPr>
            <w:tcW w:w="1109" w:type="pct"/>
            <w:shd w:val="clear" w:color="auto" w:fill="auto"/>
            <w:hideMark/>
          </w:tcPr>
          <w:p w:rsidR="0041288F" w:rsidRPr="0041288F" w:rsidRDefault="0041288F" w:rsidP="0041288F">
            <w:pPr>
              <w:spacing w:line="240" w:lineRule="auto"/>
              <w:jc w:val="left"/>
              <w:rPr>
                <w:b/>
                <w:bCs/>
                <w:sz w:val="22"/>
                <w:szCs w:val="22"/>
                <w:lang w:val="en-IN" w:eastAsia="en-IN"/>
              </w:rPr>
            </w:pPr>
            <w:r w:rsidRPr="0041288F">
              <w:rPr>
                <w:b/>
                <w:bCs/>
                <w:sz w:val="22"/>
                <w:szCs w:val="22"/>
                <w:lang w:val="en-IN" w:eastAsia="en-IN"/>
              </w:rPr>
              <w:t>Renewable Sources</w:t>
            </w:r>
          </w:p>
        </w:tc>
        <w:tc>
          <w:tcPr>
            <w:tcW w:w="451"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p>
        </w:tc>
        <w:tc>
          <w:tcPr>
            <w:tcW w:w="420" w:type="pct"/>
            <w:shd w:val="clear" w:color="auto" w:fill="auto"/>
            <w:noWrap/>
            <w:vAlign w:val="center"/>
            <w:hideMark/>
          </w:tcPr>
          <w:p w:rsidR="0041288F" w:rsidRPr="0041288F" w:rsidRDefault="0041288F" w:rsidP="00735CAB">
            <w:pPr>
              <w:spacing w:line="240" w:lineRule="auto"/>
              <w:jc w:val="right"/>
              <w:rPr>
                <w:i/>
                <w:iCs/>
                <w:sz w:val="22"/>
                <w:szCs w:val="22"/>
                <w:lang w:val="en-IN" w:eastAsia="en-IN"/>
              </w:rPr>
            </w:pPr>
          </w:p>
        </w:tc>
        <w:tc>
          <w:tcPr>
            <w:tcW w:w="372"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p>
        </w:tc>
        <w:tc>
          <w:tcPr>
            <w:tcW w:w="348"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p>
        </w:tc>
        <w:tc>
          <w:tcPr>
            <w:tcW w:w="573"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p>
        </w:tc>
        <w:tc>
          <w:tcPr>
            <w:tcW w:w="424"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p>
        </w:tc>
      </w:tr>
      <w:tr w:rsidR="0041288F" w:rsidRPr="0041288F" w:rsidTr="0041288F">
        <w:trPr>
          <w:trHeight w:val="20"/>
        </w:trPr>
        <w:tc>
          <w:tcPr>
            <w:tcW w:w="290" w:type="pct"/>
            <w:shd w:val="clear" w:color="auto" w:fill="auto"/>
            <w:hideMark/>
          </w:tcPr>
          <w:p w:rsidR="0041288F" w:rsidRPr="0041288F" w:rsidRDefault="0041288F" w:rsidP="0041288F">
            <w:pPr>
              <w:spacing w:line="240" w:lineRule="auto"/>
              <w:jc w:val="center"/>
              <w:rPr>
                <w:sz w:val="22"/>
                <w:szCs w:val="22"/>
                <w:lang w:val="en-IN" w:eastAsia="en-IN"/>
              </w:rPr>
            </w:pPr>
            <w:r w:rsidRPr="0041288F">
              <w:rPr>
                <w:sz w:val="22"/>
                <w:szCs w:val="22"/>
                <w:lang w:val="en-IN" w:eastAsia="en-IN"/>
              </w:rPr>
              <w:t> </w:t>
            </w:r>
          </w:p>
        </w:tc>
        <w:tc>
          <w:tcPr>
            <w:tcW w:w="1109" w:type="pct"/>
            <w:shd w:val="clear" w:color="auto" w:fill="auto"/>
            <w:noWrap/>
            <w:vAlign w:val="bottom"/>
            <w:hideMark/>
          </w:tcPr>
          <w:p w:rsidR="0041288F" w:rsidRPr="0041288F" w:rsidRDefault="0041288F" w:rsidP="0041288F">
            <w:pPr>
              <w:spacing w:line="240" w:lineRule="auto"/>
              <w:jc w:val="left"/>
              <w:rPr>
                <w:sz w:val="22"/>
                <w:szCs w:val="22"/>
                <w:lang w:val="en-IN" w:eastAsia="en-IN"/>
              </w:rPr>
            </w:pPr>
            <w:r w:rsidRPr="0041288F">
              <w:rPr>
                <w:sz w:val="22"/>
                <w:szCs w:val="22"/>
                <w:lang w:val="en-IN" w:eastAsia="en-IN"/>
              </w:rPr>
              <w:t>Solar</w:t>
            </w:r>
          </w:p>
        </w:tc>
        <w:tc>
          <w:tcPr>
            <w:tcW w:w="451"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p>
        </w:tc>
        <w:tc>
          <w:tcPr>
            <w:tcW w:w="420" w:type="pct"/>
            <w:shd w:val="clear" w:color="auto" w:fill="auto"/>
            <w:noWrap/>
            <w:vAlign w:val="center"/>
            <w:hideMark/>
          </w:tcPr>
          <w:p w:rsidR="0041288F" w:rsidRPr="0041288F" w:rsidRDefault="0041288F" w:rsidP="00735CAB">
            <w:pPr>
              <w:spacing w:line="240" w:lineRule="auto"/>
              <w:jc w:val="right"/>
              <w:rPr>
                <w:i/>
                <w:iCs/>
                <w:sz w:val="22"/>
                <w:szCs w:val="22"/>
                <w:lang w:val="en-IN" w:eastAsia="en-IN"/>
              </w:rPr>
            </w:pPr>
          </w:p>
        </w:tc>
        <w:tc>
          <w:tcPr>
            <w:tcW w:w="372"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p>
        </w:tc>
        <w:tc>
          <w:tcPr>
            <w:tcW w:w="348"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p>
        </w:tc>
        <w:tc>
          <w:tcPr>
            <w:tcW w:w="573"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p>
        </w:tc>
        <w:tc>
          <w:tcPr>
            <w:tcW w:w="424"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r>
      <w:tr w:rsidR="0041288F" w:rsidRPr="0041288F" w:rsidTr="0041288F">
        <w:trPr>
          <w:trHeight w:val="20"/>
        </w:trPr>
        <w:tc>
          <w:tcPr>
            <w:tcW w:w="290" w:type="pct"/>
            <w:shd w:val="clear" w:color="auto" w:fill="auto"/>
            <w:hideMark/>
          </w:tcPr>
          <w:p w:rsidR="0041288F" w:rsidRPr="0041288F" w:rsidRDefault="0041288F" w:rsidP="0041288F">
            <w:pPr>
              <w:spacing w:line="240" w:lineRule="auto"/>
              <w:jc w:val="center"/>
              <w:rPr>
                <w:b/>
                <w:bCs/>
                <w:sz w:val="22"/>
                <w:szCs w:val="22"/>
                <w:lang w:val="en-IN" w:eastAsia="en-IN"/>
              </w:rPr>
            </w:pPr>
            <w:r w:rsidRPr="0041288F">
              <w:rPr>
                <w:b/>
                <w:bCs/>
                <w:sz w:val="22"/>
                <w:szCs w:val="22"/>
                <w:lang w:val="en-IN" w:eastAsia="en-IN"/>
              </w:rPr>
              <w:t> </w:t>
            </w:r>
          </w:p>
        </w:tc>
        <w:tc>
          <w:tcPr>
            <w:tcW w:w="1109" w:type="pct"/>
            <w:shd w:val="clear" w:color="auto" w:fill="auto"/>
            <w:noWrap/>
            <w:vAlign w:val="bottom"/>
            <w:hideMark/>
          </w:tcPr>
          <w:p w:rsidR="0041288F" w:rsidRPr="0041288F" w:rsidRDefault="0041288F" w:rsidP="0041288F">
            <w:pPr>
              <w:spacing w:line="240" w:lineRule="auto"/>
              <w:jc w:val="left"/>
              <w:rPr>
                <w:sz w:val="22"/>
                <w:szCs w:val="22"/>
                <w:lang w:val="en-IN" w:eastAsia="en-IN"/>
              </w:rPr>
            </w:pPr>
            <w:r w:rsidRPr="0041288F">
              <w:rPr>
                <w:sz w:val="22"/>
                <w:szCs w:val="22"/>
                <w:lang w:val="en-IN" w:eastAsia="en-IN"/>
              </w:rPr>
              <w:t>Non-Solar</w:t>
            </w:r>
          </w:p>
        </w:tc>
        <w:tc>
          <w:tcPr>
            <w:tcW w:w="451"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p>
        </w:tc>
        <w:tc>
          <w:tcPr>
            <w:tcW w:w="420"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p>
        </w:tc>
        <w:tc>
          <w:tcPr>
            <w:tcW w:w="372"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p>
        </w:tc>
        <w:tc>
          <w:tcPr>
            <w:tcW w:w="348"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p>
        </w:tc>
        <w:tc>
          <w:tcPr>
            <w:tcW w:w="506"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p>
        </w:tc>
        <w:tc>
          <w:tcPr>
            <w:tcW w:w="573"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p>
        </w:tc>
        <w:tc>
          <w:tcPr>
            <w:tcW w:w="424"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r>
      <w:tr w:rsidR="0041288F" w:rsidRPr="0041288F" w:rsidTr="0041288F">
        <w:trPr>
          <w:trHeight w:val="20"/>
        </w:trPr>
        <w:tc>
          <w:tcPr>
            <w:tcW w:w="290" w:type="pct"/>
            <w:shd w:val="clear" w:color="auto" w:fill="auto"/>
            <w:hideMark/>
          </w:tcPr>
          <w:p w:rsidR="0041288F" w:rsidRPr="0041288F" w:rsidRDefault="0041288F" w:rsidP="0041288F">
            <w:pPr>
              <w:spacing w:line="240" w:lineRule="auto"/>
              <w:jc w:val="center"/>
              <w:rPr>
                <w:b/>
                <w:bCs/>
                <w:sz w:val="22"/>
                <w:szCs w:val="22"/>
                <w:lang w:val="en-IN" w:eastAsia="en-IN"/>
              </w:rPr>
            </w:pPr>
            <w:r w:rsidRPr="0041288F">
              <w:rPr>
                <w:b/>
                <w:bCs/>
                <w:sz w:val="22"/>
                <w:szCs w:val="22"/>
                <w:lang w:val="en-IN" w:eastAsia="en-IN"/>
              </w:rPr>
              <w:t> </w:t>
            </w:r>
          </w:p>
        </w:tc>
        <w:tc>
          <w:tcPr>
            <w:tcW w:w="1109" w:type="pct"/>
            <w:shd w:val="clear" w:color="auto" w:fill="auto"/>
            <w:noWrap/>
            <w:vAlign w:val="bottom"/>
            <w:hideMark/>
          </w:tcPr>
          <w:p w:rsidR="0041288F" w:rsidRPr="0041288F" w:rsidRDefault="0041288F" w:rsidP="0041288F">
            <w:pPr>
              <w:spacing w:line="240" w:lineRule="auto"/>
              <w:jc w:val="left"/>
              <w:rPr>
                <w:sz w:val="22"/>
                <w:szCs w:val="22"/>
                <w:lang w:val="en-IN" w:eastAsia="en-IN"/>
              </w:rPr>
            </w:pPr>
            <w:r w:rsidRPr="0041288F">
              <w:rPr>
                <w:sz w:val="22"/>
                <w:szCs w:val="22"/>
                <w:lang w:val="en-IN" w:eastAsia="en-IN"/>
              </w:rPr>
              <w:t>RECs</w:t>
            </w:r>
          </w:p>
        </w:tc>
        <w:tc>
          <w:tcPr>
            <w:tcW w:w="451"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p>
        </w:tc>
        <w:tc>
          <w:tcPr>
            <w:tcW w:w="420"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p>
        </w:tc>
        <w:tc>
          <w:tcPr>
            <w:tcW w:w="372"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p>
        </w:tc>
        <w:tc>
          <w:tcPr>
            <w:tcW w:w="348"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p>
        </w:tc>
        <w:tc>
          <w:tcPr>
            <w:tcW w:w="506"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p>
        </w:tc>
        <w:tc>
          <w:tcPr>
            <w:tcW w:w="573"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p>
        </w:tc>
        <w:tc>
          <w:tcPr>
            <w:tcW w:w="424"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r>
      <w:tr w:rsidR="0041288F" w:rsidRPr="0041288F" w:rsidTr="0041288F">
        <w:trPr>
          <w:trHeight w:val="20"/>
        </w:trPr>
        <w:tc>
          <w:tcPr>
            <w:tcW w:w="290" w:type="pct"/>
            <w:shd w:val="clear" w:color="auto" w:fill="auto"/>
            <w:hideMark/>
          </w:tcPr>
          <w:p w:rsidR="0041288F" w:rsidRPr="0041288F" w:rsidRDefault="0041288F" w:rsidP="0041288F">
            <w:pPr>
              <w:spacing w:line="240" w:lineRule="auto"/>
              <w:jc w:val="center"/>
              <w:rPr>
                <w:b/>
                <w:bCs/>
                <w:sz w:val="22"/>
                <w:szCs w:val="22"/>
                <w:lang w:val="en-IN" w:eastAsia="en-IN"/>
              </w:rPr>
            </w:pPr>
            <w:r w:rsidRPr="0041288F">
              <w:rPr>
                <w:b/>
                <w:bCs/>
                <w:sz w:val="22"/>
                <w:szCs w:val="22"/>
                <w:lang w:val="en-IN" w:eastAsia="en-IN"/>
              </w:rPr>
              <w:t> </w:t>
            </w:r>
          </w:p>
        </w:tc>
        <w:tc>
          <w:tcPr>
            <w:tcW w:w="1109" w:type="pct"/>
            <w:shd w:val="clear" w:color="auto" w:fill="auto"/>
            <w:noWrap/>
            <w:vAlign w:val="bottom"/>
            <w:hideMark/>
          </w:tcPr>
          <w:p w:rsidR="0041288F" w:rsidRPr="0041288F" w:rsidRDefault="0041288F" w:rsidP="0041288F">
            <w:pPr>
              <w:spacing w:line="240" w:lineRule="auto"/>
              <w:jc w:val="left"/>
              <w:rPr>
                <w:sz w:val="22"/>
                <w:szCs w:val="22"/>
                <w:lang w:val="en-IN" w:eastAsia="en-IN"/>
              </w:rPr>
            </w:pPr>
            <w:r w:rsidRPr="0041288F">
              <w:rPr>
                <w:sz w:val="22"/>
                <w:szCs w:val="22"/>
                <w:lang w:val="en-IN" w:eastAsia="en-IN"/>
              </w:rPr>
              <w:t> </w:t>
            </w:r>
          </w:p>
        </w:tc>
        <w:tc>
          <w:tcPr>
            <w:tcW w:w="451"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p>
        </w:tc>
        <w:tc>
          <w:tcPr>
            <w:tcW w:w="420"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p>
        </w:tc>
        <w:tc>
          <w:tcPr>
            <w:tcW w:w="372"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p>
        </w:tc>
        <w:tc>
          <w:tcPr>
            <w:tcW w:w="348"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p>
        </w:tc>
        <w:tc>
          <w:tcPr>
            <w:tcW w:w="506"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p>
        </w:tc>
        <w:tc>
          <w:tcPr>
            <w:tcW w:w="573"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p>
        </w:tc>
        <w:tc>
          <w:tcPr>
            <w:tcW w:w="424"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r>
      <w:tr w:rsidR="0041288F" w:rsidRPr="0041288F" w:rsidTr="0041288F">
        <w:trPr>
          <w:trHeight w:val="20"/>
        </w:trPr>
        <w:tc>
          <w:tcPr>
            <w:tcW w:w="290" w:type="pct"/>
            <w:shd w:val="clear" w:color="auto" w:fill="auto"/>
            <w:hideMark/>
          </w:tcPr>
          <w:p w:rsidR="0041288F" w:rsidRPr="0041288F" w:rsidRDefault="0041288F" w:rsidP="0041288F">
            <w:pPr>
              <w:spacing w:line="240" w:lineRule="auto"/>
              <w:jc w:val="center"/>
              <w:rPr>
                <w:b/>
                <w:bCs/>
                <w:sz w:val="22"/>
                <w:szCs w:val="22"/>
                <w:lang w:val="en-IN" w:eastAsia="en-IN"/>
              </w:rPr>
            </w:pPr>
            <w:r w:rsidRPr="0041288F">
              <w:rPr>
                <w:b/>
                <w:bCs/>
                <w:sz w:val="22"/>
                <w:szCs w:val="22"/>
                <w:lang w:val="en-IN" w:eastAsia="en-IN"/>
              </w:rPr>
              <w:t>B</w:t>
            </w:r>
          </w:p>
        </w:tc>
        <w:tc>
          <w:tcPr>
            <w:tcW w:w="1109" w:type="pct"/>
            <w:shd w:val="clear" w:color="auto" w:fill="auto"/>
            <w:hideMark/>
          </w:tcPr>
          <w:p w:rsidR="0041288F" w:rsidRPr="0041288F" w:rsidRDefault="0041288F" w:rsidP="0041288F">
            <w:pPr>
              <w:spacing w:line="240" w:lineRule="auto"/>
              <w:jc w:val="left"/>
              <w:rPr>
                <w:b/>
                <w:bCs/>
                <w:sz w:val="22"/>
                <w:szCs w:val="22"/>
                <w:lang w:val="en-IN" w:eastAsia="en-IN"/>
              </w:rPr>
            </w:pPr>
            <w:r w:rsidRPr="0041288F">
              <w:rPr>
                <w:b/>
                <w:bCs/>
                <w:sz w:val="22"/>
                <w:szCs w:val="22"/>
                <w:lang w:val="en-IN" w:eastAsia="en-IN"/>
              </w:rPr>
              <w:t>Within State Generations</w:t>
            </w:r>
          </w:p>
        </w:tc>
        <w:tc>
          <w:tcPr>
            <w:tcW w:w="451"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420" w:type="pct"/>
            <w:shd w:val="clear" w:color="auto" w:fill="auto"/>
            <w:noWrap/>
            <w:vAlign w:val="center"/>
            <w:hideMark/>
          </w:tcPr>
          <w:p w:rsidR="0041288F" w:rsidRPr="0041288F" w:rsidRDefault="0041288F" w:rsidP="00735CAB">
            <w:pPr>
              <w:spacing w:line="240" w:lineRule="auto"/>
              <w:jc w:val="right"/>
              <w:rPr>
                <w:i/>
                <w:iCs/>
                <w:sz w:val="22"/>
                <w:szCs w:val="22"/>
                <w:lang w:val="en-IN" w:eastAsia="en-IN"/>
              </w:rPr>
            </w:pPr>
          </w:p>
        </w:tc>
        <w:tc>
          <w:tcPr>
            <w:tcW w:w="372"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348"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506"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573"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p>
        </w:tc>
        <w:tc>
          <w:tcPr>
            <w:tcW w:w="424" w:type="pct"/>
            <w:shd w:val="clear" w:color="auto" w:fill="auto"/>
            <w:vAlign w:val="center"/>
            <w:hideMark/>
          </w:tcPr>
          <w:p w:rsidR="0041288F" w:rsidRPr="0041288F" w:rsidRDefault="0041288F" w:rsidP="00735CAB">
            <w:pPr>
              <w:spacing w:line="240" w:lineRule="auto"/>
              <w:jc w:val="right"/>
              <w:rPr>
                <w:sz w:val="22"/>
                <w:szCs w:val="22"/>
                <w:lang w:val="en-IN" w:eastAsia="en-IN"/>
              </w:rPr>
            </w:pPr>
            <w:r w:rsidRPr="0041288F">
              <w:rPr>
                <w:sz w:val="22"/>
                <w:szCs w:val="22"/>
                <w:lang w:val="en-IN" w:eastAsia="en-IN"/>
              </w:rPr>
              <w:t>216.37</w:t>
            </w:r>
          </w:p>
        </w:tc>
      </w:tr>
      <w:tr w:rsidR="0041288F" w:rsidRPr="0041288F" w:rsidTr="0041288F">
        <w:trPr>
          <w:trHeight w:val="20"/>
        </w:trPr>
        <w:tc>
          <w:tcPr>
            <w:tcW w:w="290" w:type="pct"/>
            <w:shd w:val="clear" w:color="auto" w:fill="auto"/>
            <w:hideMark/>
          </w:tcPr>
          <w:p w:rsidR="0041288F" w:rsidRPr="0041288F" w:rsidRDefault="0041288F" w:rsidP="0041288F">
            <w:pPr>
              <w:spacing w:line="240" w:lineRule="auto"/>
              <w:jc w:val="center"/>
              <w:rPr>
                <w:b/>
                <w:bCs/>
                <w:sz w:val="22"/>
                <w:szCs w:val="22"/>
                <w:lang w:val="en-IN" w:eastAsia="en-IN"/>
              </w:rPr>
            </w:pPr>
            <w:r w:rsidRPr="0041288F">
              <w:rPr>
                <w:b/>
                <w:bCs/>
                <w:sz w:val="22"/>
                <w:szCs w:val="22"/>
                <w:lang w:val="en-IN" w:eastAsia="en-IN"/>
              </w:rPr>
              <w:t>I</w:t>
            </w:r>
          </w:p>
        </w:tc>
        <w:tc>
          <w:tcPr>
            <w:tcW w:w="1109" w:type="pct"/>
            <w:shd w:val="clear" w:color="auto" w:fill="auto"/>
            <w:hideMark/>
          </w:tcPr>
          <w:p w:rsidR="0041288F" w:rsidRPr="0041288F" w:rsidRDefault="0041288F" w:rsidP="0041288F">
            <w:pPr>
              <w:spacing w:line="240" w:lineRule="auto"/>
              <w:jc w:val="left"/>
              <w:rPr>
                <w:b/>
                <w:bCs/>
                <w:sz w:val="22"/>
                <w:szCs w:val="22"/>
                <w:lang w:val="en-IN" w:eastAsia="en-IN"/>
              </w:rPr>
            </w:pPr>
            <w:r w:rsidRPr="0041288F">
              <w:rPr>
                <w:b/>
                <w:bCs/>
                <w:sz w:val="22"/>
                <w:szCs w:val="22"/>
                <w:lang w:val="en-IN" w:eastAsia="en-IN"/>
              </w:rPr>
              <w:t>PPCL</w:t>
            </w:r>
          </w:p>
        </w:tc>
        <w:tc>
          <w:tcPr>
            <w:tcW w:w="451" w:type="pct"/>
            <w:shd w:val="clear" w:color="auto" w:fill="auto"/>
            <w:vAlign w:val="center"/>
            <w:hideMark/>
          </w:tcPr>
          <w:p w:rsidR="0041288F" w:rsidRPr="0041288F" w:rsidRDefault="0041288F" w:rsidP="00735CAB">
            <w:pPr>
              <w:spacing w:line="240" w:lineRule="auto"/>
              <w:jc w:val="right"/>
              <w:rPr>
                <w:sz w:val="22"/>
                <w:szCs w:val="22"/>
                <w:lang w:val="en-IN" w:eastAsia="en-IN"/>
              </w:rPr>
            </w:pPr>
            <w:r w:rsidRPr="0041288F">
              <w:rPr>
                <w:sz w:val="22"/>
                <w:szCs w:val="22"/>
                <w:lang w:val="en-IN" w:eastAsia="en-IN"/>
              </w:rPr>
              <w:t>32.50</w:t>
            </w:r>
          </w:p>
        </w:tc>
        <w:tc>
          <w:tcPr>
            <w:tcW w:w="420" w:type="pct"/>
            <w:shd w:val="clear" w:color="auto" w:fill="auto"/>
            <w:noWrap/>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100</w:t>
            </w:r>
          </w:p>
        </w:tc>
        <w:tc>
          <w:tcPr>
            <w:tcW w:w="372"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33</w:t>
            </w:r>
          </w:p>
        </w:tc>
        <w:tc>
          <w:tcPr>
            <w:tcW w:w="348" w:type="pct"/>
            <w:shd w:val="clear" w:color="auto" w:fill="auto"/>
            <w:vAlign w:val="center"/>
            <w:hideMark/>
          </w:tcPr>
          <w:p w:rsidR="0041288F" w:rsidRPr="0041288F" w:rsidRDefault="0041288F" w:rsidP="00735CAB">
            <w:pPr>
              <w:spacing w:line="240" w:lineRule="auto"/>
              <w:jc w:val="right"/>
              <w:rPr>
                <w:sz w:val="22"/>
                <w:szCs w:val="22"/>
                <w:lang w:val="en-IN" w:eastAsia="en-IN"/>
              </w:rPr>
            </w:pPr>
            <w:r w:rsidRPr="0041288F">
              <w:rPr>
                <w:sz w:val="22"/>
                <w:szCs w:val="22"/>
                <w:lang w:val="en-IN" w:eastAsia="en-IN"/>
              </w:rPr>
              <w:t>80%</w:t>
            </w: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227.76</w:t>
            </w:r>
          </w:p>
        </w:tc>
        <w:tc>
          <w:tcPr>
            <w:tcW w:w="573"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5%</w:t>
            </w:r>
          </w:p>
        </w:tc>
        <w:tc>
          <w:tcPr>
            <w:tcW w:w="506" w:type="pct"/>
            <w:shd w:val="clear" w:color="auto" w:fill="auto"/>
            <w:vAlign w:val="center"/>
            <w:hideMark/>
          </w:tcPr>
          <w:p w:rsidR="0041288F" w:rsidRPr="0041288F" w:rsidRDefault="0041288F" w:rsidP="00735CAB">
            <w:pPr>
              <w:spacing w:line="240" w:lineRule="auto"/>
              <w:jc w:val="right"/>
              <w:rPr>
                <w:i/>
                <w:iCs/>
                <w:sz w:val="22"/>
                <w:szCs w:val="22"/>
                <w:lang w:val="en-IN" w:eastAsia="en-IN"/>
              </w:rPr>
            </w:pPr>
            <w:r w:rsidRPr="0041288F">
              <w:rPr>
                <w:i/>
                <w:iCs/>
                <w:sz w:val="22"/>
                <w:szCs w:val="22"/>
                <w:lang w:val="en-IN" w:eastAsia="en-IN"/>
              </w:rPr>
              <w:t>216.37</w:t>
            </w:r>
          </w:p>
        </w:tc>
        <w:tc>
          <w:tcPr>
            <w:tcW w:w="424" w:type="pct"/>
            <w:shd w:val="clear" w:color="auto" w:fill="auto"/>
            <w:vAlign w:val="center"/>
            <w:hideMark/>
          </w:tcPr>
          <w:p w:rsidR="0041288F" w:rsidRPr="0041288F" w:rsidRDefault="0041288F" w:rsidP="00735CAB">
            <w:pPr>
              <w:spacing w:line="240" w:lineRule="auto"/>
              <w:jc w:val="right"/>
              <w:rPr>
                <w:sz w:val="22"/>
                <w:szCs w:val="22"/>
                <w:lang w:val="en-IN" w:eastAsia="en-IN"/>
              </w:rPr>
            </w:pPr>
            <w:r w:rsidRPr="0041288F">
              <w:rPr>
                <w:sz w:val="22"/>
                <w:szCs w:val="22"/>
                <w:lang w:val="en-IN" w:eastAsia="en-IN"/>
              </w:rPr>
              <w:t>216.37</w:t>
            </w:r>
          </w:p>
        </w:tc>
      </w:tr>
      <w:tr w:rsidR="0041288F" w:rsidRPr="0041288F" w:rsidTr="0041288F">
        <w:trPr>
          <w:trHeight w:val="20"/>
        </w:trPr>
        <w:tc>
          <w:tcPr>
            <w:tcW w:w="290" w:type="pct"/>
            <w:shd w:val="clear" w:color="000000" w:fill="FFFFFF"/>
            <w:hideMark/>
          </w:tcPr>
          <w:p w:rsidR="0041288F" w:rsidRPr="0041288F" w:rsidRDefault="0041288F" w:rsidP="0041288F">
            <w:pPr>
              <w:spacing w:line="240" w:lineRule="auto"/>
              <w:jc w:val="center"/>
              <w:rPr>
                <w:sz w:val="22"/>
                <w:szCs w:val="22"/>
                <w:lang w:val="en-IN" w:eastAsia="en-IN"/>
              </w:rPr>
            </w:pPr>
            <w:r w:rsidRPr="0041288F">
              <w:rPr>
                <w:sz w:val="22"/>
                <w:szCs w:val="22"/>
                <w:lang w:val="en-IN" w:eastAsia="en-IN"/>
              </w:rPr>
              <w:t> </w:t>
            </w:r>
          </w:p>
        </w:tc>
        <w:tc>
          <w:tcPr>
            <w:tcW w:w="1109" w:type="pct"/>
            <w:shd w:val="clear" w:color="000000" w:fill="FFFFFF"/>
            <w:hideMark/>
          </w:tcPr>
          <w:p w:rsidR="0041288F" w:rsidRPr="0041288F" w:rsidRDefault="0041288F" w:rsidP="0041288F">
            <w:pPr>
              <w:spacing w:line="240" w:lineRule="auto"/>
              <w:ind w:firstLineChars="100" w:firstLine="220"/>
              <w:jc w:val="left"/>
              <w:rPr>
                <w:i/>
                <w:iCs/>
                <w:sz w:val="22"/>
                <w:szCs w:val="22"/>
                <w:lang w:val="en-IN" w:eastAsia="en-IN"/>
              </w:rPr>
            </w:pPr>
            <w:r w:rsidRPr="0041288F">
              <w:rPr>
                <w:i/>
                <w:iCs/>
                <w:sz w:val="22"/>
                <w:szCs w:val="22"/>
                <w:lang w:val="en-IN" w:eastAsia="en-IN"/>
              </w:rPr>
              <w:t> </w:t>
            </w:r>
          </w:p>
        </w:tc>
        <w:tc>
          <w:tcPr>
            <w:tcW w:w="451"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420" w:type="pct"/>
            <w:shd w:val="clear" w:color="auto" w:fill="auto"/>
            <w:noWrap/>
            <w:vAlign w:val="center"/>
            <w:hideMark/>
          </w:tcPr>
          <w:p w:rsidR="0041288F" w:rsidRPr="0041288F" w:rsidRDefault="0041288F" w:rsidP="00735CAB">
            <w:pPr>
              <w:spacing w:line="240" w:lineRule="auto"/>
              <w:jc w:val="right"/>
              <w:rPr>
                <w:sz w:val="22"/>
                <w:szCs w:val="22"/>
                <w:lang w:val="en-IN" w:eastAsia="en-IN"/>
              </w:rPr>
            </w:pPr>
          </w:p>
        </w:tc>
        <w:tc>
          <w:tcPr>
            <w:tcW w:w="372"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348"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506"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573"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506"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424" w:type="pct"/>
            <w:shd w:val="clear" w:color="auto" w:fill="auto"/>
            <w:vAlign w:val="center"/>
            <w:hideMark/>
          </w:tcPr>
          <w:p w:rsidR="0041288F" w:rsidRPr="0041288F" w:rsidRDefault="0041288F" w:rsidP="00735CAB">
            <w:pPr>
              <w:spacing w:line="240" w:lineRule="auto"/>
              <w:jc w:val="right"/>
              <w:rPr>
                <w:sz w:val="22"/>
                <w:szCs w:val="22"/>
                <w:lang w:val="en-IN" w:eastAsia="en-IN"/>
              </w:rPr>
            </w:pPr>
            <w:r w:rsidRPr="0041288F">
              <w:rPr>
                <w:sz w:val="22"/>
                <w:szCs w:val="22"/>
                <w:lang w:val="en-IN" w:eastAsia="en-IN"/>
              </w:rPr>
              <w:t>-</w:t>
            </w:r>
          </w:p>
        </w:tc>
      </w:tr>
      <w:tr w:rsidR="0041288F" w:rsidRPr="0041288F" w:rsidTr="0041288F">
        <w:trPr>
          <w:trHeight w:val="20"/>
        </w:trPr>
        <w:tc>
          <w:tcPr>
            <w:tcW w:w="290" w:type="pct"/>
            <w:shd w:val="clear" w:color="auto" w:fill="auto"/>
            <w:hideMark/>
          </w:tcPr>
          <w:p w:rsidR="0041288F" w:rsidRPr="0041288F" w:rsidRDefault="0041288F" w:rsidP="0041288F">
            <w:pPr>
              <w:spacing w:line="240" w:lineRule="auto"/>
              <w:jc w:val="center"/>
              <w:rPr>
                <w:b/>
                <w:bCs/>
                <w:sz w:val="22"/>
                <w:szCs w:val="22"/>
                <w:lang w:val="en-IN" w:eastAsia="en-IN"/>
              </w:rPr>
            </w:pPr>
            <w:r w:rsidRPr="0041288F">
              <w:rPr>
                <w:b/>
                <w:bCs/>
                <w:sz w:val="22"/>
                <w:szCs w:val="22"/>
                <w:lang w:val="en-IN" w:eastAsia="en-IN"/>
              </w:rPr>
              <w:t>C</w:t>
            </w:r>
          </w:p>
        </w:tc>
        <w:tc>
          <w:tcPr>
            <w:tcW w:w="1109" w:type="pct"/>
            <w:shd w:val="clear" w:color="auto" w:fill="auto"/>
            <w:hideMark/>
          </w:tcPr>
          <w:p w:rsidR="0041288F" w:rsidRPr="0041288F" w:rsidRDefault="0041288F" w:rsidP="0041288F">
            <w:pPr>
              <w:spacing w:line="240" w:lineRule="auto"/>
              <w:jc w:val="left"/>
              <w:rPr>
                <w:b/>
                <w:bCs/>
                <w:sz w:val="22"/>
                <w:szCs w:val="22"/>
                <w:lang w:val="en-IN" w:eastAsia="en-IN"/>
              </w:rPr>
            </w:pPr>
            <w:r w:rsidRPr="0041288F">
              <w:rPr>
                <w:b/>
                <w:bCs/>
                <w:sz w:val="22"/>
                <w:szCs w:val="22"/>
                <w:lang w:val="en-IN" w:eastAsia="en-IN"/>
              </w:rPr>
              <w:t>OTHER CHARGES</w:t>
            </w:r>
          </w:p>
        </w:tc>
        <w:tc>
          <w:tcPr>
            <w:tcW w:w="451"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p>
        </w:tc>
        <w:tc>
          <w:tcPr>
            <w:tcW w:w="420" w:type="pct"/>
            <w:shd w:val="clear" w:color="auto" w:fill="auto"/>
            <w:noWrap/>
            <w:vAlign w:val="center"/>
            <w:hideMark/>
          </w:tcPr>
          <w:p w:rsidR="0041288F" w:rsidRPr="0041288F" w:rsidRDefault="0041288F" w:rsidP="00735CAB">
            <w:pPr>
              <w:spacing w:line="240" w:lineRule="auto"/>
              <w:jc w:val="right"/>
              <w:rPr>
                <w:b/>
                <w:bCs/>
                <w:sz w:val="22"/>
                <w:szCs w:val="22"/>
                <w:lang w:val="en-IN" w:eastAsia="en-IN"/>
              </w:rPr>
            </w:pPr>
          </w:p>
        </w:tc>
        <w:tc>
          <w:tcPr>
            <w:tcW w:w="372"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p>
        </w:tc>
        <w:tc>
          <w:tcPr>
            <w:tcW w:w="348"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p>
        </w:tc>
        <w:tc>
          <w:tcPr>
            <w:tcW w:w="506"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p>
        </w:tc>
        <w:tc>
          <w:tcPr>
            <w:tcW w:w="573"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p>
        </w:tc>
        <w:tc>
          <w:tcPr>
            <w:tcW w:w="506"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p>
        </w:tc>
        <w:tc>
          <w:tcPr>
            <w:tcW w:w="424"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r w:rsidRPr="0041288F">
              <w:rPr>
                <w:b/>
                <w:bCs/>
                <w:sz w:val="22"/>
                <w:szCs w:val="22"/>
                <w:lang w:val="en-IN" w:eastAsia="en-IN"/>
              </w:rPr>
              <w:t>-</w:t>
            </w:r>
          </w:p>
        </w:tc>
      </w:tr>
      <w:tr w:rsidR="0041288F" w:rsidRPr="0041288F" w:rsidTr="0041288F">
        <w:trPr>
          <w:trHeight w:val="20"/>
        </w:trPr>
        <w:tc>
          <w:tcPr>
            <w:tcW w:w="290" w:type="pct"/>
            <w:shd w:val="clear" w:color="auto" w:fill="auto"/>
            <w:hideMark/>
          </w:tcPr>
          <w:p w:rsidR="0041288F" w:rsidRPr="0041288F" w:rsidRDefault="0041288F" w:rsidP="0041288F">
            <w:pPr>
              <w:spacing w:line="240" w:lineRule="auto"/>
              <w:jc w:val="center"/>
              <w:rPr>
                <w:sz w:val="22"/>
                <w:szCs w:val="22"/>
                <w:lang w:val="en-IN" w:eastAsia="en-IN"/>
              </w:rPr>
            </w:pPr>
            <w:r w:rsidRPr="0041288F">
              <w:rPr>
                <w:sz w:val="22"/>
                <w:szCs w:val="22"/>
                <w:lang w:val="en-IN" w:eastAsia="en-IN"/>
              </w:rPr>
              <w:t> </w:t>
            </w:r>
          </w:p>
        </w:tc>
        <w:tc>
          <w:tcPr>
            <w:tcW w:w="1109" w:type="pct"/>
            <w:shd w:val="clear" w:color="auto" w:fill="auto"/>
            <w:hideMark/>
          </w:tcPr>
          <w:p w:rsidR="0041288F" w:rsidRPr="0041288F" w:rsidRDefault="0041288F" w:rsidP="00F73EEB">
            <w:pPr>
              <w:spacing w:line="240" w:lineRule="auto"/>
              <w:jc w:val="left"/>
              <w:rPr>
                <w:i/>
                <w:iCs/>
                <w:sz w:val="22"/>
                <w:szCs w:val="22"/>
                <w:lang w:val="en-IN" w:eastAsia="en-IN"/>
              </w:rPr>
            </w:pPr>
            <w:r w:rsidRPr="0041288F">
              <w:rPr>
                <w:i/>
                <w:iCs/>
                <w:sz w:val="22"/>
                <w:szCs w:val="22"/>
                <w:lang w:val="en-IN" w:eastAsia="en-IN"/>
              </w:rPr>
              <w:t>PGCIL Transmission Charges, Wheeling &amp; Other Charges</w:t>
            </w:r>
          </w:p>
        </w:tc>
        <w:tc>
          <w:tcPr>
            <w:tcW w:w="451"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p>
        </w:tc>
        <w:tc>
          <w:tcPr>
            <w:tcW w:w="420"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p>
        </w:tc>
        <w:tc>
          <w:tcPr>
            <w:tcW w:w="372"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p>
        </w:tc>
        <w:tc>
          <w:tcPr>
            <w:tcW w:w="348"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p>
        </w:tc>
        <w:tc>
          <w:tcPr>
            <w:tcW w:w="506"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p>
        </w:tc>
        <w:tc>
          <w:tcPr>
            <w:tcW w:w="573"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p>
        </w:tc>
        <w:tc>
          <w:tcPr>
            <w:tcW w:w="506" w:type="pct"/>
            <w:shd w:val="clear" w:color="auto" w:fill="auto"/>
            <w:vAlign w:val="center"/>
            <w:hideMark/>
          </w:tcPr>
          <w:p w:rsidR="0041288F" w:rsidRPr="0041288F" w:rsidRDefault="0041288F" w:rsidP="00735CAB">
            <w:pPr>
              <w:spacing w:line="240" w:lineRule="auto"/>
              <w:jc w:val="right"/>
              <w:rPr>
                <w:b/>
                <w:bCs/>
                <w:sz w:val="22"/>
                <w:szCs w:val="22"/>
                <w:lang w:val="en-IN" w:eastAsia="en-IN"/>
              </w:rPr>
            </w:pPr>
          </w:p>
        </w:tc>
        <w:tc>
          <w:tcPr>
            <w:tcW w:w="424" w:type="pct"/>
            <w:shd w:val="clear" w:color="auto" w:fill="auto"/>
            <w:vAlign w:val="center"/>
            <w:hideMark/>
          </w:tcPr>
          <w:p w:rsidR="0041288F" w:rsidRPr="0041288F" w:rsidRDefault="0041288F" w:rsidP="00735CAB">
            <w:pPr>
              <w:spacing w:line="240" w:lineRule="auto"/>
              <w:jc w:val="right"/>
              <w:rPr>
                <w:sz w:val="22"/>
                <w:szCs w:val="22"/>
                <w:lang w:val="en-IN" w:eastAsia="en-IN"/>
              </w:rPr>
            </w:pPr>
            <w:r w:rsidRPr="0041288F">
              <w:rPr>
                <w:sz w:val="22"/>
                <w:szCs w:val="22"/>
                <w:lang w:val="en-IN" w:eastAsia="en-IN"/>
              </w:rPr>
              <w:t>-</w:t>
            </w:r>
          </w:p>
        </w:tc>
      </w:tr>
      <w:tr w:rsidR="0041288F" w:rsidRPr="0041288F" w:rsidTr="0041288F">
        <w:trPr>
          <w:trHeight w:val="20"/>
        </w:trPr>
        <w:tc>
          <w:tcPr>
            <w:tcW w:w="290" w:type="pct"/>
            <w:shd w:val="clear" w:color="auto" w:fill="auto"/>
            <w:hideMark/>
          </w:tcPr>
          <w:p w:rsidR="0041288F" w:rsidRPr="0041288F" w:rsidRDefault="0041288F" w:rsidP="0041288F">
            <w:pPr>
              <w:spacing w:line="240" w:lineRule="auto"/>
              <w:jc w:val="center"/>
              <w:rPr>
                <w:sz w:val="22"/>
                <w:szCs w:val="22"/>
                <w:lang w:val="en-IN" w:eastAsia="en-IN"/>
              </w:rPr>
            </w:pPr>
            <w:r w:rsidRPr="0041288F">
              <w:rPr>
                <w:sz w:val="22"/>
                <w:szCs w:val="22"/>
                <w:lang w:val="en-IN" w:eastAsia="en-IN"/>
              </w:rPr>
              <w:t> </w:t>
            </w:r>
          </w:p>
        </w:tc>
        <w:tc>
          <w:tcPr>
            <w:tcW w:w="1109" w:type="pct"/>
            <w:shd w:val="clear" w:color="auto" w:fill="auto"/>
            <w:hideMark/>
          </w:tcPr>
          <w:p w:rsidR="0041288F" w:rsidRPr="0041288F" w:rsidRDefault="0041288F" w:rsidP="00F73EEB">
            <w:pPr>
              <w:spacing w:line="240" w:lineRule="auto"/>
              <w:ind w:firstLineChars="100" w:firstLine="220"/>
              <w:jc w:val="left"/>
              <w:rPr>
                <w:i/>
                <w:iCs/>
                <w:sz w:val="22"/>
                <w:szCs w:val="22"/>
                <w:lang w:val="en-IN" w:eastAsia="en-IN"/>
              </w:rPr>
            </w:pPr>
            <w:r w:rsidRPr="0041288F">
              <w:rPr>
                <w:i/>
                <w:iCs/>
                <w:sz w:val="22"/>
                <w:szCs w:val="22"/>
                <w:lang w:val="en-IN" w:eastAsia="en-IN"/>
              </w:rPr>
              <w:t>POSOCO</w:t>
            </w:r>
          </w:p>
        </w:tc>
        <w:tc>
          <w:tcPr>
            <w:tcW w:w="451"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420" w:type="pct"/>
            <w:shd w:val="clear" w:color="auto" w:fill="auto"/>
            <w:noWrap/>
            <w:vAlign w:val="center"/>
            <w:hideMark/>
          </w:tcPr>
          <w:p w:rsidR="0041288F" w:rsidRPr="0041288F" w:rsidRDefault="0041288F" w:rsidP="00735CAB">
            <w:pPr>
              <w:spacing w:line="240" w:lineRule="auto"/>
              <w:jc w:val="right"/>
              <w:rPr>
                <w:i/>
                <w:iCs/>
                <w:sz w:val="22"/>
                <w:szCs w:val="22"/>
                <w:lang w:val="en-IN" w:eastAsia="en-IN"/>
              </w:rPr>
            </w:pPr>
          </w:p>
        </w:tc>
        <w:tc>
          <w:tcPr>
            <w:tcW w:w="372"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348"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506"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573"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506"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424" w:type="pct"/>
            <w:shd w:val="clear" w:color="auto" w:fill="auto"/>
            <w:vAlign w:val="center"/>
            <w:hideMark/>
          </w:tcPr>
          <w:p w:rsidR="0041288F" w:rsidRPr="0041288F" w:rsidRDefault="0041288F" w:rsidP="00735CAB">
            <w:pPr>
              <w:spacing w:line="240" w:lineRule="auto"/>
              <w:jc w:val="right"/>
              <w:rPr>
                <w:sz w:val="22"/>
                <w:szCs w:val="22"/>
                <w:lang w:val="en-IN" w:eastAsia="en-IN"/>
              </w:rPr>
            </w:pPr>
            <w:r w:rsidRPr="0041288F">
              <w:rPr>
                <w:sz w:val="22"/>
                <w:szCs w:val="22"/>
                <w:lang w:val="en-IN" w:eastAsia="en-IN"/>
              </w:rPr>
              <w:t>-</w:t>
            </w:r>
          </w:p>
        </w:tc>
      </w:tr>
      <w:tr w:rsidR="0041288F" w:rsidRPr="0041288F" w:rsidTr="0041288F">
        <w:trPr>
          <w:trHeight w:val="20"/>
        </w:trPr>
        <w:tc>
          <w:tcPr>
            <w:tcW w:w="290" w:type="pct"/>
            <w:shd w:val="clear" w:color="auto" w:fill="auto"/>
            <w:hideMark/>
          </w:tcPr>
          <w:p w:rsidR="0041288F" w:rsidRPr="0041288F" w:rsidRDefault="0041288F" w:rsidP="0041288F">
            <w:pPr>
              <w:spacing w:line="240" w:lineRule="auto"/>
              <w:jc w:val="center"/>
              <w:rPr>
                <w:sz w:val="22"/>
                <w:szCs w:val="22"/>
                <w:lang w:val="en-IN" w:eastAsia="en-IN"/>
              </w:rPr>
            </w:pPr>
            <w:r w:rsidRPr="0041288F">
              <w:rPr>
                <w:sz w:val="22"/>
                <w:szCs w:val="22"/>
                <w:lang w:val="en-IN" w:eastAsia="en-IN"/>
              </w:rPr>
              <w:t> </w:t>
            </w:r>
          </w:p>
        </w:tc>
        <w:tc>
          <w:tcPr>
            <w:tcW w:w="1109" w:type="pct"/>
            <w:shd w:val="clear" w:color="auto" w:fill="auto"/>
            <w:hideMark/>
          </w:tcPr>
          <w:p w:rsidR="0041288F" w:rsidRPr="0041288F" w:rsidRDefault="0041288F" w:rsidP="00F73EEB">
            <w:pPr>
              <w:spacing w:line="240" w:lineRule="auto"/>
              <w:ind w:firstLineChars="100" w:firstLine="220"/>
              <w:jc w:val="left"/>
              <w:rPr>
                <w:i/>
                <w:iCs/>
                <w:sz w:val="22"/>
                <w:szCs w:val="22"/>
                <w:lang w:val="en-IN" w:eastAsia="en-IN"/>
              </w:rPr>
            </w:pPr>
            <w:r w:rsidRPr="0041288F">
              <w:rPr>
                <w:i/>
                <w:iCs/>
                <w:sz w:val="22"/>
                <w:szCs w:val="22"/>
                <w:lang w:val="en-IN" w:eastAsia="en-IN"/>
              </w:rPr>
              <w:t>PCKL</w:t>
            </w:r>
          </w:p>
        </w:tc>
        <w:tc>
          <w:tcPr>
            <w:tcW w:w="451"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420" w:type="pct"/>
            <w:shd w:val="clear" w:color="auto" w:fill="auto"/>
            <w:noWrap/>
            <w:vAlign w:val="center"/>
            <w:hideMark/>
          </w:tcPr>
          <w:p w:rsidR="0041288F" w:rsidRPr="0041288F" w:rsidRDefault="0041288F" w:rsidP="00735CAB">
            <w:pPr>
              <w:spacing w:line="240" w:lineRule="auto"/>
              <w:jc w:val="right"/>
              <w:rPr>
                <w:i/>
                <w:iCs/>
                <w:sz w:val="22"/>
                <w:szCs w:val="22"/>
                <w:lang w:val="en-IN" w:eastAsia="en-IN"/>
              </w:rPr>
            </w:pPr>
          </w:p>
        </w:tc>
        <w:tc>
          <w:tcPr>
            <w:tcW w:w="372"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348"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506"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573"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506"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424"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r>
      <w:tr w:rsidR="0041288F" w:rsidRPr="0041288F" w:rsidTr="0041288F">
        <w:trPr>
          <w:trHeight w:val="20"/>
        </w:trPr>
        <w:tc>
          <w:tcPr>
            <w:tcW w:w="290" w:type="pct"/>
            <w:shd w:val="clear" w:color="auto" w:fill="auto"/>
            <w:hideMark/>
          </w:tcPr>
          <w:p w:rsidR="0041288F" w:rsidRPr="0041288F" w:rsidRDefault="0041288F" w:rsidP="0041288F">
            <w:pPr>
              <w:spacing w:line="240" w:lineRule="auto"/>
              <w:jc w:val="center"/>
              <w:rPr>
                <w:b/>
                <w:bCs/>
                <w:sz w:val="22"/>
                <w:szCs w:val="22"/>
                <w:lang w:val="en-IN" w:eastAsia="en-IN"/>
              </w:rPr>
            </w:pPr>
            <w:r w:rsidRPr="0041288F">
              <w:rPr>
                <w:b/>
                <w:bCs/>
                <w:sz w:val="22"/>
                <w:szCs w:val="22"/>
                <w:lang w:val="en-IN" w:eastAsia="en-IN"/>
              </w:rPr>
              <w:t>D</w:t>
            </w:r>
          </w:p>
        </w:tc>
        <w:tc>
          <w:tcPr>
            <w:tcW w:w="1109" w:type="pct"/>
            <w:shd w:val="clear" w:color="auto" w:fill="auto"/>
            <w:hideMark/>
          </w:tcPr>
          <w:p w:rsidR="0041288F" w:rsidRPr="0041288F" w:rsidRDefault="0041288F" w:rsidP="00F73EEB">
            <w:pPr>
              <w:spacing w:line="240" w:lineRule="auto"/>
              <w:ind w:firstLineChars="100" w:firstLine="220"/>
              <w:jc w:val="left"/>
              <w:rPr>
                <w:i/>
                <w:iCs/>
                <w:sz w:val="22"/>
                <w:szCs w:val="22"/>
                <w:lang w:val="en-IN" w:eastAsia="en-IN"/>
              </w:rPr>
            </w:pPr>
            <w:r w:rsidRPr="0041288F">
              <w:rPr>
                <w:i/>
                <w:iCs/>
                <w:sz w:val="22"/>
                <w:szCs w:val="22"/>
                <w:lang w:val="en-IN" w:eastAsia="en-IN"/>
              </w:rPr>
              <w:t>UI</w:t>
            </w:r>
          </w:p>
        </w:tc>
        <w:tc>
          <w:tcPr>
            <w:tcW w:w="451"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420" w:type="pct"/>
            <w:shd w:val="clear" w:color="auto" w:fill="auto"/>
            <w:noWrap/>
            <w:vAlign w:val="center"/>
            <w:hideMark/>
          </w:tcPr>
          <w:p w:rsidR="0041288F" w:rsidRPr="0041288F" w:rsidRDefault="0041288F" w:rsidP="00735CAB">
            <w:pPr>
              <w:spacing w:line="240" w:lineRule="auto"/>
              <w:jc w:val="right"/>
              <w:rPr>
                <w:i/>
                <w:iCs/>
                <w:sz w:val="22"/>
                <w:szCs w:val="22"/>
                <w:lang w:val="en-IN" w:eastAsia="en-IN"/>
              </w:rPr>
            </w:pPr>
          </w:p>
        </w:tc>
        <w:tc>
          <w:tcPr>
            <w:tcW w:w="372"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348"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506"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573"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506"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424"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r>
      <w:tr w:rsidR="0041288F" w:rsidRPr="0041288F" w:rsidTr="0041288F">
        <w:trPr>
          <w:trHeight w:val="20"/>
        </w:trPr>
        <w:tc>
          <w:tcPr>
            <w:tcW w:w="290" w:type="pct"/>
            <w:shd w:val="clear" w:color="auto" w:fill="auto"/>
            <w:hideMark/>
          </w:tcPr>
          <w:p w:rsidR="0041288F" w:rsidRPr="0041288F" w:rsidRDefault="0041288F" w:rsidP="0041288F">
            <w:pPr>
              <w:spacing w:line="240" w:lineRule="auto"/>
              <w:jc w:val="center"/>
              <w:rPr>
                <w:sz w:val="22"/>
                <w:szCs w:val="22"/>
                <w:lang w:val="en-IN" w:eastAsia="en-IN"/>
              </w:rPr>
            </w:pPr>
            <w:r w:rsidRPr="0041288F">
              <w:rPr>
                <w:sz w:val="22"/>
                <w:szCs w:val="22"/>
                <w:lang w:val="en-IN" w:eastAsia="en-IN"/>
              </w:rPr>
              <w:t> </w:t>
            </w:r>
          </w:p>
        </w:tc>
        <w:tc>
          <w:tcPr>
            <w:tcW w:w="1109" w:type="pct"/>
            <w:shd w:val="clear" w:color="auto" w:fill="auto"/>
            <w:hideMark/>
          </w:tcPr>
          <w:p w:rsidR="0041288F" w:rsidRPr="0041288F" w:rsidRDefault="0041288F" w:rsidP="00F73EEB">
            <w:pPr>
              <w:spacing w:line="240" w:lineRule="auto"/>
              <w:ind w:firstLineChars="100" w:firstLine="220"/>
              <w:jc w:val="left"/>
              <w:rPr>
                <w:i/>
                <w:iCs/>
                <w:sz w:val="22"/>
                <w:szCs w:val="22"/>
                <w:lang w:val="en-IN" w:eastAsia="en-IN"/>
              </w:rPr>
            </w:pPr>
            <w:r w:rsidRPr="0041288F">
              <w:rPr>
                <w:i/>
                <w:iCs/>
                <w:sz w:val="22"/>
                <w:szCs w:val="22"/>
                <w:lang w:val="en-IN" w:eastAsia="en-IN"/>
              </w:rPr>
              <w:t>Sale of Surplus power</w:t>
            </w:r>
          </w:p>
        </w:tc>
        <w:tc>
          <w:tcPr>
            <w:tcW w:w="451"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420" w:type="pct"/>
            <w:shd w:val="clear" w:color="auto" w:fill="auto"/>
            <w:noWrap/>
            <w:vAlign w:val="center"/>
            <w:hideMark/>
          </w:tcPr>
          <w:p w:rsidR="0041288F" w:rsidRPr="0041288F" w:rsidRDefault="0041288F" w:rsidP="00735CAB">
            <w:pPr>
              <w:spacing w:line="240" w:lineRule="auto"/>
              <w:jc w:val="right"/>
              <w:rPr>
                <w:i/>
                <w:iCs/>
                <w:sz w:val="22"/>
                <w:szCs w:val="22"/>
                <w:lang w:val="en-IN" w:eastAsia="en-IN"/>
              </w:rPr>
            </w:pPr>
          </w:p>
        </w:tc>
        <w:tc>
          <w:tcPr>
            <w:tcW w:w="372"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348"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506"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573"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506"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424" w:type="pct"/>
            <w:shd w:val="clear" w:color="auto" w:fill="auto"/>
            <w:vAlign w:val="center"/>
            <w:hideMark/>
          </w:tcPr>
          <w:p w:rsidR="0041288F" w:rsidRPr="0041288F" w:rsidRDefault="0041288F" w:rsidP="00735CAB">
            <w:pPr>
              <w:spacing w:line="240" w:lineRule="auto"/>
              <w:jc w:val="right"/>
              <w:rPr>
                <w:sz w:val="22"/>
                <w:szCs w:val="22"/>
                <w:lang w:val="en-IN" w:eastAsia="en-IN"/>
              </w:rPr>
            </w:pPr>
            <w:r w:rsidRPr="0041288F">
              <w:rPr>
                <w:sz w:val="22"/>
                <w:szCs w:val="22"/>
                <w:lang w:val="en-IN" w:eastAsia="en-IN"/>
              </w:rPr>
              <w:t>(54.02)</w:t>
            </w:r>
          </w:p>
        </w:tc>
      </w:tr>
      <w:tr w:rsidR="0041288F" w:rsidRPr="0041288F" w:rsidTr="0041288F">
        <w:trPr>
          <w:trHeight w:val="20"/>
        </w:trPr>
        <w:tc>
          <w:tcPr>
            <w:tcW w:w="290" w:type="pct"/>
            <w:shd w:val="clear" w:color="auto" w:fill="auto"/>
            <w:hideMark/>
          </w:tcPr>
          <w:p w:rsidR="0041288F" w:rsidRPr="0041288F" w:rsidRDefault="0041288F" w:rsidP="0041288F">
            <w:pPr>
              <w:spacing w:line="240" w:lineRule="auto"/>
              <w:jc w:val="center"/>
              <w:rPr>
                <w:sz w:val="22"/>
                <w:szCs w:val="22"/>
                <w:lang w:val="en-IN" w:eastAsia="en-IN"/>
              </w:rPr>
            </w:pPr>
            <w:r w:rsidRPr="0041288F">
              <w:rPr>
                <w:sz w:val="22"/>
                <w:szCs w:val="22"/>
                <w:lang w:val="en-IN" w:eastAsia="en-IN"/>
              </w:rPr>
              <w:t> </w:t>
            </w:r>
          </w:p>
        </w:tc>
        <w:tc>
          <w:tcPr>
            <w:tcW w:w="1109" w:type="pct"/>
            <w:shd w:val="clear" w:color="auto" w:fill="auto"/>
            <w:hideMark/>
          </w:tcPr>
          <w:p w:rsidR="0041288F" w:rsidRPr="0041288F" w:rsidRDefault="0041288F" w:rsidP="00F73EEB">
            <w:pPr>
              <w:spacing w:line="240" w:lineRule="auto"/>
              <w:ind w:firstLineChars="100" w:firstLine="220"/>
              <w:jc w:val="left"/>
              <w:rPr>
                <w:i/>
                <w:iCs/>
                <w:sz w:val="22"/>
                <w:szCs w:val="22"/>
                <w:lang w:val="en-IN" w:eastAsia="en-IN"/>
              </w:rPr>
            </w:pPr>
            <w:r w:rsidRPr="0041288F">
              <w:rPr>
                <w:i/>
                <w:iCs/>
                <w:sz w:val="22"/>
                <w:szCs w:val="22"/>
                <w:lang w:val="en-IN" w:eastAsia="en-IN"/>
              </w:rPr>
              <w:t>open access</w:t>
            </w:r>
          </w:p>
        </w:tc>
        <w:tc>
          <w:tcPr>
            <w:tcW w:w="451"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420" w:type="pct"/>
            <w:shd w:val="clear" w:color="auto" w:fill="auto"/>
            <w:noWrap/>
            <w:vAlign w:val="center"/>
            <w:hideMark/>
          </w:tcPr>
          <w:p w:rsidR="0041288F" w:rsidRPr="0041288F" w:rsidRDefault="0041288F" w:rsidP="00735CAB">
            <w:pPr>
              <w:spacing w:line="240" w:lineRule="auto"/>
              <w:jc w:val="right"/>
              <w:rPr>
                <w:i/>
                <w:iCs/>
                <w:sz w:val="22"/>
                <w:szCs w:val="22"/>
                <w:lang w:val="en-IN" w:eastAsia="en-IN"/>
              </w:rPr>
            </w:pPr>
          </w:p>
        </w:tc>
        <w:tc>
          <w:tcPr>
            <w:tcW w:w="372"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348"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506"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573"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506"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424"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r>
      <w:tr w:rsidR="0041288F" w:rsidRPr="0041288F" w:rsidTr="0041288F">
        <w:trPr>
          <w:trHeight w:val="20"/>
        </w:trPr>
        <w:tc>
          <w:tcPr>
            <w:tcW w:w="290" w:type="pct"/>
            <w:shd w:val="clear" w:color="auto" w:fill="auto"/>
            <w:hideMark/>
          </w:tcPr>
          <w:p w:rsidR="0041288F" w:rsidRPr="0041288F" w:rsidRDefault="0041288F" w:rsidP="0041288F">
            <w:pPr>
              <w:spacing w:line="240" w:lineRule="auto"/>
              <w:jc w:val="center"/>
              <w:rPr>
                <w:sz w:val="22"/>
                <w:szCs w:val="22"/>
                <w:lang w:val="en-IN" w:eastAsia="en-IN"/>
              </w:rPr>
            </w:pPr>
            <w:r w:rsidRPr="0041288F">
              <w:rPr>
                <w:sz w:val="22"/>
                <w:szCs w:val="22"/>
                <w:lang w:val="en-IN" w:eastAsia="en-IN"/>
              </w:rPr>
              <w:t> </w:t>
            </w:r>
          </w:p>
        </w:tc>
        <w:tc>
          <w:tcPr>
            <w:tcW w:w="1109" w:type="pct"/>
            <w:shd w:val="clear" w:color="auto" w:fill="auto"/>
            <w:hideMark/>
          </w:tcPr>
          <w:p w:rsidR="0041288F" w:rsidRPr="0041288F" w:rsidRDefault="0041288F" w:rsidP="0041288F">
            <w:pPr>
              <w:spacing w:line="240" w:lineRule="auto"/>
              <w:jc w:val="left"/>
              <w:rPr>
                <w:sz w:val="22"/>
                <w:szCs w:val="22"/>
                <w:lang w:val="en-IN" w:eastAsia="en-IN"/>
              </w:rPr>
            </w:pPr>
            <w:r w:rsidRPr="0041288F">
              <w:rPr>
                <w:sz w:val="22"/>
                <w:szCs w:val="22"/>
                <w:lang w:val="en-IN" w:eastAsia="en-IN"/>
              </w:rPr>
              <w:t> </w:t>
            </w:r>
          </w:p>
        </w:tc>
        <w:tc>
          <w:tcPr>
            <w:tcW w:w="451"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420"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372"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348"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506"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573"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506"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424"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r>
      <w:tr w:rsidR="0041288F" w:rsidRPr="0041288F" w:rsidTr="0041288F">
        <w:trPr>
          <w:trHeight w:val="20"/>
        </w:trPr>
        <w:tc>
          <w:tcPr>
            <w:tcW w:w="290" w:type="pct"/>
            <w:shd w:val="clear" w:color="auto" w:fill="auto"/>
            <w:hideMark/>
          </w:tcPr>
          <w:p w:rsidR="0041288F" w:rsidRPr="0041288F" w:rsidRDefault="0041288F" w:rsidP="0041288F">
            <w:pPr>
              <w:spacing w:line="240" w:lineRule="auto"/>
              <w:jc w:val="center"/>
              <w:rPr>
                <w:sz w:val="22"/>
                <w:szCs w:val="22"/>
                <w:lang w:val="en-IN" w:eastAsia="en-IN"/>
              </w:rPr>
            </w:pPr>
            <w:r w:rsidRPr="0041288F">
              <w:rPr>
                <w:sz w:val="22"/>
                <w:szCs w:val="22"/>
                <w:lang w:val="en-IN" w:eastAsia="en-IN"/>
              </w:rPr>
              <w:t> </w:t>
            </w:r>
          </w:p>
        </w:tc>
        <w:tc>
          <w:tcPr>
            <w:tcW w:w="1109" w:type="pct"/>
            <w:shd w:val="clear" w:color="auto" w:fill="auto"/>
            <w:hideMark/>
          </w:tcPr>
          <w:p w:rsidR="0041288F" w:rsidRPr="0041288F" w:rsidRDefault="0041288F" w:rsidP="0041288F">
            <w:pPr>
              <w:spacing w:line="240" w:lineRule="auto"/>
              <w:jc w:val="left"/>
              <w:rPr>
                <w:sz w:val="22"/>
                <w:szCs w:val="22"/>
                <w:lang w:val="en-IN" w:eastAsia="en-IN"/>
              </w:rPr>
            </w:pPr>
            <w:r w:rsidRPr="0041288F">
              <w:rPr>
                <w:sz w:val="22"/>
                <w:szCs w:val="22"/>
                <w:lang w:val="en-IN" w:eastAsia="en-IN"/>
              </w:rPr>
              <w:t> </w:t>
            </w:r>
          </w:p>
        </w:tc>
        <w:tc>
          <w:tcPr>
            <w:tcW w:w="451"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420"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372"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348"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506"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573"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506"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424"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r>
      <w:tr w:rsidR="0041288F" w:rsidRPr="0041288F" w:rsidTr="0041288F">
        <w:trPr>
          <w:trHeight w:val="20"/>
        </w:trPr>
        <w:tc>
          <w:tcPr>
            <w:tcW w:w="290" w:type="pct"/>
            <w:shd w:val="clear" w:color="auto" w:fill="auto"/>
            <w:hideMark/>
          </w:tcPr>
          <w:p w:rsidR="0041288F" w:rsidRPr="0041288F" w:rsidRDefault="0041288F" w:rsidP="0041288F">
            <w:pPr>
              <w:spacing w:line="240" w:lineRule="auto"/>
              <w:jc w:val="center"/>
              <w:rPr>
                <w:sz w:val="22"/>
                <w:szCs w:val="22"/>
                <w:lang w:val="en-IN" w:eastAsia="en-IN"/>
              </w:rPr>
            </w:pPr>
            <w:r w:rsidRPr="0041288F">
              <w:rPr>
                <w:sz w:val="22"/>
                <w:szCs w:val="22"/>
                <w:lang w:val="en-IN" w:eastAsia="en-IN"/>
              </w:rPr>
              <w:t> </w:t>
            </w:r>
          </w:p>
        </w:tc>
        <w:tc>
          <w:tcPr>
            <w:tcW w:w="1109" w:type="pct"/>
            <w:shd w:val="clear" w:color="auto" w:fill="auto"/>
            <w:hideMark/>
          </w:tcPr>
          <w:p w:rsidR="0041288F" w:rsidRPr="0041288F" w:rsidRDefault="0041288F" w:rsidP="0041288F">
            <w:pPr>
              <w:spacing w:line="240" w:lineRule="auto"/>
              <w:jc w:val="left"/>
              <w:rPr>
                <w:sz w:val="22"/>
                <w:szCs w:val="22"/>
                <w:lang w:val="en-IN" w:eastAsia="en-IN"/>
              </w:rPr>
            </w:pPr>
            <w:r w:rsidRPr="0041288F">
              <w:rPr>
                <w:sz w:val="22"/>
                <w:szCs w:val="22"/>
                <w:lang w:val="en-IN" w:eastAsia="en-IN"/>
              </w:rPr>
              <w:t> </w:t>
            </w:r>
          </w:p>
        </w:tc>
        <w:tc>
          <w:tcPr>
            <w:tcW w:w="451"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420"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372"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348"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506"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573"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506"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c>
          <w:tcPr>
            <w:tcW w:w="424" w:type="pct"/>
            <w:shd w:val="clear" w:color="auto" w:fill="auto"/>
            <w:vAlign w:val="center"/>
            <w:hideMark/>
          </w:tcPr>
          <w:p w:rsidR="0041288F" w:rsidRPr="0041288F" w:rsidRDefault="0041288F" w:rsidP="00735CAB">
            <w:pPr>
              <w:spacing w:line="240" w:lineRule="auto"/>
              <w:jc w:val="right"/>
              <w:rPr>
                <w:sz w:val="22"/>
                <w:szCs w:val="22"/>
                <w:lang w:val="en-IN" w:eastAsia="en-IN"/>
              </w:rPr>
            </w:pPr>
          </w:p>
        </w:tc>
      </w:tr>
      <w:tr w:rsidR="0041288F" w:rsidRPr="0041288F" w:rsidTr="0041288F">
        <w:trPr>
          <w:trHeight w:val="20"/>
        </w:trPr>
        <w:tc>
          <w:tcPr>
            <w:tcW w:w="290" w:type="pct"/>
            <w:shd w:val="clear" w:color="000000" w:fill="44546A"/>
            <w:hideMark/>
          </w:tcPr>
          <w:p w:rsidR="0041288F" w:rsidRPr="0041288F" w:rsidRDefault="0041288F" w:rsidP="0041288F">
            <w:pPr>
              <w:spacing w:line="240" w:lineRule="auto"/>
              <w:jc w:val="center"/>
              <w:rPr>
                <w:b/>
                <w:bCs/>
                <w:color w:val="FFFFFF"/>
                <w:sz w:val="22"/>
                <w:szCs w:val="22"/>
                <w:lang w:val="en-IN" w:eastAsia="en-IN"/>
              </w:rPr>
            </w:pPr>
            <w:r w:rsidRPr="0041288F">
              <w:rPr>
                <w:b/>
                <w:bCs/>
                <w:color w:val="FFFFFF"/>
                <w:sz w:val="22"/>
                <w:szCs w:val="22"/>
                <w:lang w:val="en-IN" w:eastAsia="en-IN"/>
              </w:rPr>
              <w:t>E</w:t>
            </w:r>
          </w:p>
        </w:tc>
        <w:tc>
          <w:tcPr>
            <w:tcW w:w="1109" w:type="pct"/>
            <w:shd w:val="clear" w:color="000000" w:fill="44546A"/>
            <w:vAlign w:val="center"/>
            <w:hideMark/>
          </w:tcPr>
          <w:p w:rsidR="0041288F" w:rsidRPr="0041288F" w:rsidRDefault="0041288F" w:rsidP="0041288F">
            <w:pPr>
              <w:spacing w:line="240" w:lineRule="auto"/>
              <w:jc w:val="center"/>
              <w:rPr>
                <w:b/>
                <w:bCs/>
                <w:color w:val="FFFFFF"/>
                <w:sz w:val="22"/>
                <w:szCs w:val="22"/>
                <w:lang w:val="en-IN" w:eastAsia="en-IN"/>
              </w:rPr>
            </w:pPr>
            <w:r w:rsidRPr="0041288F">
              <w:rPr>
                <w:b/>
                <w:bCs/>
                <w:color w:val="FFFFFF"/>
                <w:sz w:val="22"/>
                <w:szCs w:val="22"/>
                <w:lang w:val="en-IN" w:eastAsia="en-IN"/>
              </w:rPr>
              <w:t xml:space="preserve">Total </w:t>
            </w:r>
          </w:p>
        </w:tc>
        <w:tc>
          <w:tcPr>
            <w:tcW w:w="451" w:type="pct"/>
            <w:shd w:val="clear" w:color="000000" w:fill="44546A"/>
            <w:vAlign w:val="center"/>
            <w:hideMark/>
          </w:tcPr>
          <w:p w:rsidR="0041288F" w:rsidRPr="0041288F" w:rsidRDefault="0041288F" w:rsidP="00735CAB">
            <w:pPr>
              <w:spacing w:line="240" w:lineRule="auto"/>
              <w:jc w:val="right"/>
              <w:rPr>
                <w:b/>
                <w:bCs/>
                <w:color w:val="FFFFFF"/>
                <w:sz w:val="22"/>
                <w:szCs w:val="22"/>
                <w:lang w:val="en-IN" w:eastAsia="en-IN"/>
              </w:rPr>
            </w:pPr>
            <w:r w:rsidRPr="0041288F">
              <w:rPr>
                <w:b/>
                <w:bCs/>
                <w:color w:val="FFFFFF"/>
                <w:sz w:val="22"/>
                <w:szCs w:val="22"/>
                <w:lang w:val="en-IN" w:eastAsia="en-IN"/>
              </w:rPr>
              <w:t>14,842.50</w:t>
            </w:r>
          </w:p>
        </w:tc>
        <w:tc>
          <w:tcPr>
            <w:tcW w:w="420" w:type="pct"/>
            <w:shd w:val="clear" w:color="000000" w:fill="44546A"/>
            <w:vAlign w:val="center"/>
            <w:hideMark/>
          </w:tcPr>
          <w:p w:rsidR="0041288F" w:rsidRPr="0041288F" w:rsidRDefault="0041288F" w:rsidP="00735CAB">
            <w:pPr>
              <w:spacing w:line="240" w:lineRule="auto"/>
              <w:jc w:val="right"/>
              <w:rPr>
                <w:b/>
                <w:bCs/>
                <w:color w:val="FFFFFF"/>
                <w:sz w:val="22"/>
                <w:szCs w:val="22"/>
                <w:lang w:val="en-IN" w:eastAsia="en-IN"/>
              </w:rPr>
            </w:pPr>
            <w:r w:rsidRPr="0041288F">
              <w:rPr>
                <w:b/>
                <w:bCs/>
                <w:color w:val="FFFFFF"/>
                <w:sz w:val="22"/>
                <w:szCs w:val="22"/>
                <w:lang w:val="en-IN" w:eastAsia="en-IN"/>
              </w:rPr>
              <w:t>-</w:t>
            </w:r>
          </w:p>
        </w:tc>
        <w:tc>
          <w:tcPr>
            <w:tcW w:w="372" w:type="pct"/>
            <w:shd w:val="clear" w:color="000000" w:fill="44546A"/>
            <w:vAlign w:val="center"/>
            <w:hideMark/>
          </w:tcPr>
          <w:p w:rsidR="0041288F" w:rsidRPr="0041288F" w:rsidRDefault="0041288F" w:rsidP="00735CAB">
            <w:pPr>
              <w:spacing w:line="240" w:lineRule="auto"/>
              <w:jc w:val="right"/>
              <w:rPr>
                <w:b/>
                <w:bCs/>
                <w:color w:val="FFFFFF"/>
                <w:sz w:val="22"/>
                <w:szCs w:val="22"/>
                <w:lang w:val="en-IN" w:eastAsia="en-IN"/>
              </w:rPr>
            </w:pPr>
            <w:r w:rsidRPr="0041288F">
              <w:rPr>
                <w:b/>
                <w:bCs/>
                <w:color w:val="FFFFFF"/>
                <w:sz w:val="22"/>
                <w:szCs w:val="22"/>
                <w:lang w:val="en-IN" w:eastAsia="en-IN"/>
              </w:rPr>
              <w:t>589.98</w:t>
            </w:r>
          </w:p>
        </w:tc>
        <w:tc>
          <w:tcPr>
            <w:tcW w:w="348" w:type="pct"/>
            <w:shd w:val="clear" w:color="000000" w:fill="44546A"/>
            <w:vAlign w:val="center"/>
            <w:hideMark/>
          </w:tcPr>
          <w:p w:rsidR="0041288F" w:rsidRPr="0041288F" w:rsidRDefault="0041288F" w:rsidP="00735CAB">
            <w:pPr>
              <w:spacing w:line="240" w:lineRule="auto"/>
              <w:jc w:val="right"/>
              <w:rPr>
                <w:b/>
                <w:bCs/>
                <w:color w:val="FFFFFF"/>
                <w:sz w:val="22"/>
                <w:szCs w:val="22"/>
                <w:lang w:val="en-IN" w:eastAsia="en-IN"/>
              </w:rPr>
            </w:pPr>
            <w:r w:rsidRPr="0041288F">
              <w:rPr>
                <w:b/>
                <w:bCs/>
                <w:color w:val="FFFFFF"/>
                <w:sz w:val="22"/>
                <w:szCs w:val="22"/>
                <w:lang w:val="en-IN" w:eastAsia="en-IN"/>
              </w:rPr>
              <w:t>-</w:t>
            </w:r>
          </w:p>
        </w:tc>
        <w:tc>
          <w:tcPr>
            <w:tcW w:w="506" w:type="pct"/>
            <w:shd w:val="clear" w:color="000000" w:fill="44546A"/>
            <w:vAlign w:val="center"/>
            <w:hideMark/>
          </w:tcPr>
          <w:p w:rsidR="0041288F" w:rsidRPr="0041288F" w:rsidRDefault="0041288F" w:rsidP="00735CAB">
            <w:pPr>
              <w:spacing w:line="240" w:lineRule="auto"/>
              <w:jc w:val="right"/>
              <w:rPr>
                <w:b/>
                <w:bCs/>
                <w:color w:val="FFFFFF"/>
                <w:sz w:val="22"/>
                <w:szCs w:val="22"/>
                <w:lang w:val="en-IN" w:eastAsia="en-IN"/>
              </w:rPr>
            </w:pPr>
          </w:p>
        </w:tc>
        <w:tc>
          <w:tcPr>
            <w:tcW w:w="573" w:type="pct"/>
            <w:shd w:val="clear" w:color="000000" w:fill="44546A"/>
            <w:vAlign w:val="center"/>
            <w:hideMark/>
          </w:tcPr>
          <w:p w:rsidR="0041288F" w:rsidRPr="0041288F" w:rsidRDefault="0041288F" w:rsidP="00735CAB">
            <w:pPr>
              <w:spacing w:line="240" w:lineRule="auto"/>
              <w:jc w:val="right"/>
              <w:rPr>
                <w:b/>
                <w:bCs/>
                <w:color w:val="FFFFFF"/>
                <w:sz w:val="22"/>
                <w:szCs w:val="22"/>
                <w:lang w:val="en-IN" w:eastAsia="en-IN"/>
              </w:rPr>
            </w:pPr>
          </w:p>
        </w:tc>
        <w:tc>
          <w:tcPr>
            <w:tcW w:w="506" w:type="pct"/>
            <w:shd w:val="clear" w:color="000000" w:fill="44546A"/>
            <w:vAlign w:val="center"/>
            <w:hideMark/>
          </w:tcPr>
          <w:p w:rsidR="0041288F" w:rsidRPr="0041288F" w:rsidRDefault="0041288F" w:rsidP="00735CAB">
            <w:pPr>
              <w:spacing w:line="240" w:lineRule="auto"/>
              <w:jc w:val="right"/>
              <w:rPr>
                <w:b/>
                <w:bCs/>
                <w:color w:val="FFFFFF"/>
                <w:sz w:val="22"/>
                <w:szCs w:val="22"/>
                <w:lang w:val="en-IN" w:eastAsia="en-IN"/>
              </w:rPr>
            </w:pPr>
            <w:r w:rsidRPr="0041288F">
              <w:rPr>
                <w:b/>
                <w:bCs/>
                <w:color w:val="FFFFFF"/>
                <w:sz w:val="22"/>
                <w:szCs w:val="22"/>
                <w:lang w:val="en-IN" w:eastAsia="en-IN"/>
              </w:rPr>
              <w:t>-</w:t>
            </w:r>
          </w:p>
        </w:tc>
        <w:tc>
          <w:tcPr>
            <w:tcW w:w="424" w:type="pct"/>
            <w:shd w:val="clear" w:color="000000" w:fill="44546A"/>
            <w:vAlign w:val="center"/>
            <w:hideMark/>
          </w:tcPr>
          <w:p w:rsidR="0041288F" w:rsidRPr="0041288F" w:rsidRDefault="0041288F" w:rsidP="00735CAB">
            <w:pPr>
              <w:spacing w:line="240" w:lineRule="auto"/>
              <w:jc w:val="right"/>
              <w:rPr>
                <w:b/>
                <w:bCs/>
                <w:color w:val="FFFFFF"/>
                <w:sz w:val="22"/>
                <w:szCs w:val="22"/>
                <w:lang w:val="en-IN" w:eastAsia="en-IN"/>
              </w:rPr>
            </w:pPr>
            <w:r w:rsidRPr="0041288F">
              <w:rPr>
                <w:b/>
                <w:bCs/>
                <w:color w:val="FFFFFF"/>
                <w:sz w:val="22"/>
                <w:szCs w:val="22"/>
                <w:lang w:val="en-IN" w:eastAsia="en-IN"/>
              </w:rPr>
              <w:t>3,167.93</w:t>
            </w:r>
          </w:p>
        </w:tc>
      </w:tr>
    </w:tbl>
    <w:p w:rsidR="0041288F" w:rsidRDefault="0041288F" w:rsidP="0041288F"/>
    <w:p w:rsidR="0041288F" w:rsidRDefault="0041288F" w:rsidP="0041288F"/>
    <w:p w:rsidR="0041288F" w:rsidRDefault="0041288F" w:rsidP="0041288F"/>
    <w:p w:rsidR="0041288F" w:rsidRDefault="0041288F" w:rsidP="0041288F"/>
    <w:p w:rsidR="0041288F" w:rsidRDefault="0041288F" w:rsidP="0041288F"/>
    <w:p w:rsidR="0041288F" w:rsidRPr="0041288F" w:rsidRDefault="0041288F" w:rsidP="0041288F"/>
    <w:p w:rsidR="00913B9B" w:rsidRPr="00913B9B" w:rsidRDefault="00913B9B" w:rsidP="00913B9B"/>
    <w:p w:rsidR="00FB35C8" w:rsidRDefault="00FB35C8" w:rsidP="00EA26CF">
      <w:pPr>
        <w:pStyle w:val="EDNormal"/>
        <w:jc w:val="center"/>
      </w:pPr>
    </w:p>
    <w:p w:rsidR="00B03BB4" w:rsidRDefault="00B03BB4" w:rsidP="00061AA6">
      <w:pPr>
        <w:pStyle w:val="Caption"/>
      </w:pPr>
      <w:bookmarkStart w:id="121" w:name="_Toc523719581"/>
      <w:r w:rsidRPr="004B3E48">
        <w:lastRenderedPageBreak/>
        <w:t xml:space="preserve">Table </w:t>
      </w:r>
      <w:r w:rsidR="00140E1B" w:rsidRPr="004B3E48">
        <w:fldChar w:fldCharType="begin"/>
      </w:r>
      <w:r w:rsidRPr="004B3E48">
        <w:instrText xml:space="preserve"> SEQ Table \* ARABIC </w:instrText>
      </w:r>
      <w:r w:rsidR="00140E1B" w:rsidRPr="004B3E48">
        <w:fldChar w:fldCharType="separate"/>
      </w:r>
      <w:r w:rsidR="004B7EE5">
        <w:rPr>
          <w:noProof/>
        </w:rPr>
        <w:t>22</w:t>
      </w:r>
      <w:r w:rsidR="00140E1B" w:rsidRPr="004B3E48">
        <w:fldChar w:fldCharType="end"/>
      </w:r>
      <w:r w:rsidRPr="004B3E48">
        <w:t>: Quantum and Cost of Power Purchase for the MYT Control Period</w:t>
      </w:r>
      <w:bookmarkEnd w:id="121"/>
    </w:p>
    <w:tbl>
      <w:tblPr>
        <w:tblW w:w="5140" w:type="pct"/>
        <w:jc w:val="center"/>
        <w:tblInd w:w="-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4"/>
        <w:gridCol w:w="1470"/>
        <w:gridCol w:w="810"/>
        <w:gridCol w:w="900"/>
        <w:gridCol w:w="989"/>
        <w:gridCol w:w="900"/>
        <w:gridCol w:w="900"/>
        <w:gridCol w:w="810"/>
        <w:gridCol w:w="900"/>
        <w:gridCol w:w="983"/>
        <w:gridCol w:w="829"/>
        <w:gridCol w:w="804"/>
        <w:gridCol w:w="810"/>
        <w:gridCol w:w="810"/>
        <w:gridCol w:w="900"/>
        <w:gridCol w:w="893"/>
        <w:gridCol w:w="900"/>
        <w:gridCol w:w="868"/>
      </w:tblGrid>
      <w:tr w:rsidR="002C38B3" w:rsidRPr="00F73EEB" w:rsidTr="00C83EE1">
        <w:trPr>
          <w:trHeight w:val="18"/>
          <w:tblHeader/>
          <w:jc w:val="center"/>
        </w:trPr>
        <w:tc>
          <w:tcPr>
            <w:tcW w:w="149" w:type="pct"/>
            <w:vMerge w:val="restart"/>
            <w:shd w:val="clear" w:color="000000" w:fill="ACB9CA"/>
            <w:vAlign w:val="center"/>
            <w:hideMark/>
          </w:tcPr>
          <w:p w:rsidR="00F73EEB" w:rsidRPr="00F73EEB" w:rsidRDefault="00F73EEB" w:rsidP="00F73EEB">
            <w:pPr>
              <w:spacing w:line="240" w:lineRule="auto"/>
              <w:jc w:val="center"/>
              <w:rPr>
                <w:b/>
                <w:bCs/>
                <w:sz w:val="19"/>
                <w:szCs w:val="19"/>
                <w:lang w:val="en-IN" w:eastAsia="en-IN"/>
              </w:rPr>
            </w:pPr>
            <w:r w:rsidRPr="00F73EEB">
              <w:rPr>
                <w:b/>
                <w:bCs/>
                <w:sz w:val="19"/>
                <w:szCs w:val="19"/>
                <w:lang w:val="en-IN" w:eastAsia="en-IN"/>
              </w:rPr>
              <w:t>Sr. No.</w:t>
            </w:r>
          </w:p>
        </w:tc>
        <w:tc>
          <w:tcPr>
            <w:tcW w:w="461" w:type="pct"/>
            <w:vMerge w:val="restart"/>
            <w:shd w:val="clear" w:color="000000" w:fill="ACB9CA"/>
            <w:vAlign w:val="center"/>
            <w:hideMark/>
          </w:tcPr>
          <w:p w:rsidR="00F73EEB" w:rsidRPr="00F73EEB" w:rsidRDefault="00F73EEB" w:rsidP="00F73EEB">
            <w:pPr>
              <w:spacing w:line="240" w:lineRule="auto"/>
              <w:jc w:val="center"/>
              <w:rPr>
                <w:b/>
                <w:bCs/>
                <w:sz w:val="19"/>
                <w:szCs w:val="19"/>
                <w:lang w:val="en-IN" w:eastAsia="en-IN"/>
              </w:rPr>
            </w:pPr>
            <w:r w:rsidRPr="00F73EEB">
              <w:rPr>
                <w:b/>
                <w:bCs/>
                <w:sz w:val="19"/>
                <w:szCs w:val="19"/>
                <w:lang w:val="en-IN" w:eastAsia="en-IN"/>
              </w:rPr>
              <w:t>Source</w:t>
            </w:r>
          </w:p>
        </w:tc>
        <w:tc>
          <w:tcPr>
            <w:tcW w:w="1128" w:type="pct"/>
            <w:gridSpan w:val="4"/>
            <w:shd w:val="clear" w:color="000000" w:fill="ACB9CA"/>
            <w:vAlign w:val="center"/>
            <w:hideMark/>
          </w:tcPr>
          <w:p w:rsidR="00F73EEB" w:rsidRPr="00F73EEB" w:rsidRDefault="00F73EEB" w:rsidP="00F73EEB">
            <w:pPr>
              <w:spacing w:line="240" w:lineRule="auto"/>
              <w:jc w:val="center"/>
              <w:rPr>
                <w:b/>
                <w:bCs/>
                <w:sz w:val="19"/>
                <w:szCs w:val="19"/>
                <w:lang w:val="en-IN" w:eastAsia="en-IN"/>
              </w:rPr>
            </w:pPr>
            <w:r w:rsidRPr="00F73EEB">
              <w:rPr>
                <w:b/>
                <w:bCs/>
                <w:sz w:val="19"/>
                <w:szCs w:val="19"/>
                <w:lang w:val="en-IN" w:eastAsia="en-IN"/>
              </w:rPr>
              <w:t>Power Purchase (MUs)</w:t>
            </w:r>
          </w:p>
        </w:tc>
        <w:tc>
          <w:tcPr>
            <w:tcW w:w="1126" w:type="pct"/>
            <w:gridSpan w:val="4"/>
            <w:shd w:val="clear" w:color="000000" w:fill="ACB9CA"/>
            <w:vAlign w:val="center"/>
            <w:hideMark/>
          </w:tcPr>
          <w:p w:rsidR="00F73EEB" w:rsidRPr="00F73EEB" w:rsidRDefault="00F73EEB" w:rsidP="00F73EEB">
            <w:pPr>
              <w:spacing w:line="240" w:lineRule="auto"/>
              <w:jc w:val="center"/>
              <w:rPr>
                <w:b/>
                <w:bCs/>
                <w:sz w:val="19"/>
                <w:szCs w:val="19"/>
                <w:lang w:val="en-IN" w:eastAsia="en-IN"/>
              </w:rPr>
            </w:pPr>
            <w:r w:rsidRPr="00F73EEB">
              <w:rPr>
                <w:b/>
                <w:bCs/>
                <w:sz w:val="19"/>
                <w:szCs w:val="19"/>
                <w:lang w:val="en-IN" w:eastAsia="en-IN"/>
              </w:rPr>
              <w:t>Power Purchase Cost - Variable Cost (VC) (Rs.Cr)</w:t>
            </w:r>
          </w:p>
        </w:tc>
        <w:tc>
          <w:tcPr>
            <w:tcW w:w="1020" w:type="pct"/>
            <w:gridSpan w:val="4"/>
            <w:shd w:val="clear" w:color="000000" w:fill="ACB9CA"/>
            <w:vAlign w:val="center"/>
            <w:hideMark/>
          </w:tcPr>
          <w:p w:rsidR="00F73EEB" w:rsidRPr="00F73EEB" w:rsidRDefault="00F73EEB" w:rsidP="00F73EEB">
            <w:pPr>
              <w:spacing w:line="240" w:lineRule="auto"/>
              <w:jc w:val="center"/>
              <w:rPr>
                <w:b/>
                <w:bCs/>
                <w:sz w:val="19"/>
                <w:szCs w:val="19"/>
                <w:lang w:val="en-IN" w:eastAsia="en-IN"/>
              </w:rPr>
            </w:pPr>
            <w:r w:rsidRPr="00F73EEB">
              <w:rPr>
                <w:b/>
                <w:bCs/>
                <w:sz w:val="19"/>
                <w:szCs w:val="19"/>
                <w:lang w:val="en-IN" w:eastAsia="en-IN"/>
              </w:rPr>
              <w:t>Power Purchase Cost - Fixed Cost Cost (FC) (Rs.Cr)</w:t>
            </w:r>
          </w:p>
        </w:tc>
        <w:tc>
          <w:tcPr>
            <w:tcW w:w="1116" w:type="pct"/>
            <w:gridSpan w:val="4"/>
            <w:shd w:val="clear" w:color="000000" w:fill="ACB9CA"/>
            <w:vAlign w:val="center"/>
            <w:hideMark/>
          </w:tcPr>
          <w:p w:rsidR="00F73EEB" w:rsidRPr="00F73EEB" w:rsidRDefault="00F73EEB" w:rsidP="00F73EEB">
            <w:pPr>
              <w:spacing w:line="240" w:lineRule="auto"/>
              <w:jc w:val="center"/>
              <w:rPr>
                <w:b/>
                <w:bCs/>
                <w:sz w:val="19"/>
                <w:szCs w:val="19"/>
                <w:lang w:val="en-IN" w:eastAsia="en-IN"/>
              </w:rPr>
            </w:pPr>
            <w:r w:rsidRPr="00F73EEB">
              <w:rPr>
                <w:b/>
                <w:bCs/>
                <w:sz w:val="19"/>
                <w:szCs w:val="19"/>
                <w:lang w:val="en-IN" w:eastAsia="en-IN"/>
              </w:rPr>
              <w:t>Total Power Purchase Cost - (Rs.Cr)</w:t>
            </w:r>
          </w:p>
        </w:tc>
      </w:tr>
      <w:tr w:rsidR="002C38B3" w:rsidRPr="00F73EEB" w:rsidTr="00C83EE1">
        <w:trPr>
          <w:trHeight w:val="18"/>
          <w:tblHeader/>
          <w:jc w:val="center"/>
        </w:trPr>
        <w:tc>
          <w:tcPr>
            <w:tcW w:w="149" w:type="pct"/>
            <w:vMerge/>
            <w:vAlign w:val="center"/>
            <w:hideMark/>
          </w:tcPr>
          <w:p w:rsidR="00F73EEB" w:rsidRPr="00F73EEB" w:rsidRDefault="00F73EEB" w:rsidP="00F73EEB">
            <w:pPr>
              <w:spacing w:line="240" w:lineRule="auto"/>
              <w:jc w:val="left"/>
              <w:rPr>
                <w:b/>
                <w:bCs/>
                <w:sz w:val="19"/>
                <w:szCs w:val="19"/>
                <w:lang w:val="en-IN" w:eastAsia="en-IN"/>
              </w:rPr>
            </w:pPr>
          </w:p>
        </w:tc>
        <w:tc>
          <w:tcPr>
            <w:tcW w:w="461" w:type="pct"/>
            <w:vMerge/>
            <w:vAlign w:val="center"/>
            <w:hideMark/>
          </w:tcPr>
          <w:p w:rsidR="00F73EEB" w:rsidRPr="00F73EEB" w:rsidRDefault="00F73EEB" w:rsidP="00F73EEB">
            <w:pPr>
              <w:spacing w:line="240" w:lineRule="auto"/>
              <w:jc w:val="left"/>
              <w:rPr>
                <w:b/>
                <w:bCs/>
                <w:sz w:val="19"/>
                <w:szCs w:val="19"/>
                <w:lang w:val="en-IN" w:eastAsia="en-IN"/>
              </w:rPr>
            </w:pPr>
          </w:p>
        </w:tc>
        <w:tc>
          <w:tcPr>
            <w:tcW w:w="254" w:type="pct"/>
            <w:shd w:val="clear" w:color="000000" w:fill="ACB9CA"/>
            <w:vAlign w:val="center"/>
            <w:hideMark/>
          </w:tcPr>
          <w:p w:rsidR="00F73EEB" w:rsidRPr="00F73EEB" w:rsidRDefault="00F73EEB" w:rsidP="00F73EEB">
            <w:pPr>
              <w:spacing w:line="240" w:lineRule="auto"/>
              <w:jc w:val="left"/>
              <w:rPr>
                <w:b/>
                <w:bCs/>
                <w:sz w:val="19"/>
                <w:szCs w:val="19"/>
                <w:lang w:val="en-IN" w:eastAsia="en-IN"/>
              </w:rPr>
            </w:pPr>
            <w:r w:rsidRPr="00F73EEB">
              <w:rPr>
                <w:b/>
                <w:bCs/>
                <w:sz w:val="19"/>
                <w:szCs w:val="19"/>
                <w:lang w:val="en-IN" w:eastAsia="en-IN"/>
              </w:rPr>
              <w:t>Base Year Projections</w:t>
            </w:r>
          </w:p>
        </w:tc>
        <w:tc>
          <w:tcPr>
            <w:tcW w:w="874" w:type="pct"/>
            <w:gridSpan w:val="3"/>
            <w:shd w:val="clear" w:color="000000" w:fill="ACB9CA"/>
            <w:vAlign w:val="center"/>
            <w:hideMark/>
          </w:tcPr>
          <w:p w:rsidR="00F73EEB" w:rsidRPr="00F73EEB" w:rsidRDefault="00F73EEB" w:rsidP="00F73EEB">
            <w:pPr>
              <w:spacing w:line="240" w:lineRule="auto"/>
              <w:jc w:val="center"/>
              <w:rPr>
                <w:b/>
                <w:bCs/>
                <w:sz w:val="19"/>
                <w:szCs w:val="19"/>
                <w:lang w:val="en-IN" w:eastAsia="en-IN"/>
              </w:rPr>
            </w:pPr>
            <w:r w:rsidRPr="00F73EEB">
              <w:rPr>
                <w:b/>
                <w:bCs/>
                <w:sz w:val="19"/>
                <w:szCs w:val="19"/>
                <w:lang w:val="en-IN" w:eastAsia="en-IN"/>
              </w:rPr>
              <w:t>Projections</w:t>
            </w:r>
          </w:p>
        </w:tc>
        <w:tc>
          <w:tcPr>
            <w:tcW w:w="282" w:type="pct"/>
            <w:shd w:val="clear" w:color="000000" w:fill="ACB9CA"/>
            <w:vAlign w:val="center"/>
            <w:hideMark/>
          </w:tcPr>
          <w:p w:rsidR="00F73EEB" w:rsidRPr="00F73EEB" w:rsidRDefault="00F73EEB" w:rsidP="00F73EEB">
            <w:pPr>
              <w:spacing w:line="240" w:lineRule="auto"/>
              <w:jc w:val="left"/>
              <w:rPr>
                <w:b/>
                <w:bCs/>
                <w:sz w:val="19"/>
                <w:szCs w:val="19"/>
                <w:lang w:val="en-IN" w:eastAsia="en-IN"/>
              </w:rPr>
            </w:pPr>
            <w:r w:rsidRPr="00F73EEB">
              <w:rPr>
                <w:b/>
                <w:bCs/>
                <w:sz w:val="19"/>
                <w:szCs w:val="19"/>
                <w:lang w:val="en-IN" w:eastAsia="en-IN"/>
              </w:rPr>
              <w:t>Base Year Projections</w:t>
            </w:r>
          </w:p>
        </w:tc>
        <w:tc>
          <w:tcPr>
            <w:tcW w:w="844" w:type="pct"/>
            <w:gridSpan w:val="3"/>
            <w:shd w:val="clear" w:color="000000" w:fill="ACB9CA"/>
            <w:vAlign w:val="center"/>
            <w:hideMark/>
          </w:tcPr>
          <w:p w:rsidR="00F73EEB" w:rsidRPr="00F73EEB" w:rsidRDefault="00F73EEB" w:rsidP="00F73EEB">
            <w:pPr>
              <w:spacing w:line="240" w:lineRule="auto"/>
              <w:jc w:val="center"/>
              <w:rPr>
                <w:b/>
                <w:bCs/>
                <w:sz w:val="19"/>
                <w:szCs w:val="19"/>
                <w:lang w:val="en-IN" w:eastAsia="en-IN"/>
              </w:rPr>
            </w:pPr>
            <w:r w:rsidRPr="00F73EEB">
              <w:rPr>
                <w:b/>
                <w:bCs/>
                <w:sz w:val="19"/>
                <w:szCs w:val="19"/>
                <w:lang w:val="en-IN" w:eastAsia="en-IN"/>
              </w:rPr>
              <w:t>Projections</w:t>
            </w:r>
          </w:p>
        </w:tc>
        <w:tc>
          <w:tcPr>
            <w:tcW w:w="260" w:type="pct"/>
            <w:shd w:val="clear" w:color="000000" w:fill="ACB9CA"/>
            <w:vAlign w:val="center"/>
            <w:hideMark/>
          </w:tcPr>
          <w:p w:rsidR="00F73EEB" w:rsidRPr="00F73EEB" w:rsidRDefault="00F73EEB" w:rsidP="00F73EEB">
            <w:pPr>
              <w:spacing w:line="240" w:lineRule="auto"/>
              <w:jc w:val="center"/>
              <w:rPr>
                <w:b/>
                <w:bCs/>
                <w:sz w:val="19"/>
                <w:szCs w:val="19"/>
                <w:lang w:val="en-IN" w:eastAsia="en-IN"/>
              </w:rPr>
            </w:pPr>
            <w:r w:rsidRPr="00F73EEB">
              <w:rPr>
                <w:b/>
                <w:bCs/>
                <w:sz w:val="19"/>
                <w:szCs w:val="19"/>
                <w:lang w:val="en-IN" w:eastAsia="en-IN"/>
              </w:rPr>
              <w:t>Base Year Projections</w:t>
            </w:r>
          </w:p>
        </w:tc>
        <w:tc>
          <w:tcPr>
            <w:tcW w:w="760" w:type="pct"/>
            <w:gridSpan w:val="3"/>
            <w:shd w:val="clear" w:color="000000" w:fill="ACB9CA"/>
            <w:vAlign w:val="center"/>
            <w:hideMark/>
          </w:tcPr>
          <w:p w:rsidR="00F73EEB" w:rsidRPr="00F73EEB" w:rsidRDefault="00F73EEB" w:rsidP="00F73EEB">
            <w:pPr>
              <w:spacing w:line="240" w:lineRule="auto"/>
              <w:jc w:val="center"/>
              <w:rPr>
                <w:b/>
                <w:bCs/>
                <w:sz w:val="19"/>
                <w:szCs w:val="19"/>
                <w:lang w:val="en-IN" w:eastAsia="en-IN"/>
              </w:rPr>
            </w:pPr>
            <w:r w:rsidRPr="00F73EEB">
              <w:rPr>
                <w:b/>
                <w:bCs/>
                <w:sz w:val="19"/>
                <w:szCs w:val="19"/>
                <w:lang w:val="en-IN" w:eastAsia="en-IN"/>
              </w:rPr>
              <w:t>Projections</w:t>
            </w:r>
          </w:p>
        </w:tc>
        <w:tc>
          <w:tcPr>
            <w:tcW w:w="282" w:type="pct"/>
            <w:shd w:val="clear" w:color="000000" w:fill="ACB9CA"/>
            <w:vAlign w:val="center"/>
            <w:hideMark/>
          </w:tcPr>
          <w:p w:rsidR="00F73EEB" w:rsidRPr="00F73EEB" w:rsidRDefault="00F73EEB" w:rsidP="00F73EEB">
            <w:pPr>
              <w:spacing w:line="240" w:lineRule="auto"/>
              <w:jc w:val="left"/>
              <w:rPr>
                <w:b/>
                <w:bCs/>
                <w:sz w:val="19"/>
                <w:szCs w:val="19"/>
                <w:lang w:val="en-IN" w:eastAsia="en-IN"/>
              </w:rPr>
            </w:pPr>
            <w:r w:rsidRPr="00F73EEB">
              <w:rPr>
                <w:b/>
                <w:bCs/>
                <w:sz w:val="19"/>
                <w:szCs w:val="19"/>
                <w:lang w:val="en-IN" w:eastAsia="en-IN"/>
              </w:rPr>
              <w:t>Base Year Projections</w:t>
            </w:r>
          </w:p>
        </w:tc>
        <w:tc>
          <w:tcPr>
            <w:tcW w:w="834" w:type="pct"/>
            <w:gridSpan w:val="3"/>
            <w:shd w:val="clear" w:color="000000" w:fill="ACB9CA"/>
            <w:vAlign w:val="center"/>
            <w:hideMark/>
          </w:tcPr>
          <w:p w:rsidR="00F73EEB" w:rsidRPr="00F73EEB" w:rsidRDefault="00F73EEB" w:rsidP="00F73EEB">
            <w:pPr>
              <w:spacing w:line="240" w:lineRule="auto"/>
              <w:jc w:val="center"/>
              <w:rPr>
                <w:b/>
                <w:bCs/>
                <w:sz w:val="19"/>
                <w:szCs w:val="19"/>
                <w:lang w:val="en-IN" w:eastAsia="en-IN"/>
              </w:rPr>
            </w:pPr>
            <w:r w:rsidRPr="00F73EEB">
              <w:rPr>
                <w:b/>
                <w:bCs/>
                <w:sz w:val="19"/>
                <w:szCs w:val="19"/>
                <w:lang w:val="en-IN" w:eastAsia="en-IN"/>
              </w:rPr>
              <w:t>Projections</w:t>
            </w:r>
          </w:p>
        </w:tc>
      </w:tr>
      <w:tr w:rsidR="00C83EE1" w:rsidRPr="00F73EEB" w:rsidTr="00C83EE1">
        <w:trPr>
          <w:trHeight w:val="18"/>
          <w:tblHeader/>
          <w:jc w:val="center"/>
        </w:trPr>
        <w:tc>
          <w:tcPr>
            <w:tcW w:w="149" w:type="pct"/>
            <w:vMerge/>
            <w:vAlign w:val="center"/>
            <w:hideMark/>
          </w:tcPr>
          <w:p w:rsidR="00F73EEB" w:rsidRPr="00F73EEB" w:rsidRDefault="00F73EEB" w:rsidP="00F73EEB">
            <w:pPr>
              <w:spacing w:line="240" w:lineRule="auto"/>
              <w:jc w:val="left"/>
              <w:rPr>
                <w:b/>
                <w:bCs/>
                <w:sz w:val="19"/>
                <w:szCs w:val="19"/>
                <w:lang w:val="en-IN" w:eastAsia="en-IN"/>
              </w:rPr>
            </w:pPr>
          </w:p>
        </w:tc>
        <w:tc>
          <w:tcPr>
            <w:tcW w:w="461" w:type="pct"/>
            <w:vMerge/>
            <w:vAlign w:val="center"/>
            <w:hideMark/>
          </w:tcPr>
          <w:p w:rsidR="00F73EEB" w:rsidRPr="00F73EEB" w:rsidRDefault="00F73EEB" w:rsidP="00F73EEB">
            <w:pPr>
              <w:spacing w:line="240" w:lineRule="auto"/>
              <w:jc w:val="left"/>
              <w:rPr>
                <w:b/>
                <w:bCs/>
                <w:sz w:val="19"/>
                <w:szCs w:val="19"/>
                <w:lang w:val="en-IN" w:eastAsia="en-IN"/>
              </w:rPr>
            </w:pPr>
          </w:p>
        </w:tc>
        <w:tc>
          <w:tcPr>
            <w:tcW w:w="254" w:type="pct"/>
            <w:shd w:val="clear" w:color="000000" w:fill="ACB9CA"/>
            <w:vAlign w:val="center"/>
            <w:hideMark/>
          </w:tcPr>
          <w:p w:rsidR="00F73EEB" w:rsidRPr="00F73EEB" w:rsidRDefault="00F73EEB" w:rsidP="00F73EEB">
            <w:pPr>
              <w:spacing w:line="240" w:lineRule="auto"/>
              <w:jc w:val="center"/>
              <w:rPr>
                <w:b/>
                <w:bCs/>
                <w:sz w:val="19"/>
                <w:szCs w:val="19"/>
                <w:lang w:val="en-IN" w:eastAsia="en-IN"/>
              </w:rPr>
            </w:pPr>
            <w:r w:rsidRPr="00F73EEB">
              <w:rPr>
                <w:b/>
                <w:bCs/>
                <w:sz w:val="19"/>
                <w:szCs w:val="19"/>
                <w:lang w:val="en-IN" w:eastAsia="en-IN"/>
              </w:rPr>
              <w:t>2018-19</w:t>
            </w:r>
          </w:p>
        </w:tc>
        <w:tc>
          <w:tcPr>
            <w:tcW w:w="282" w:type="pct"/>
            <w:shd w:val="clear" w:color="000000" w:fill="ACB9CA"/>
            <w:vAlign w:val="center"/>
            <w:hideMark/>
          </w:tcPr>
          <w:p w:rsidR="00F73EEB" w:rsidRPr="00F73EEB" w:rsidRDefault="00F73EEB" w:rsidP="00F73EEB">
            <w:pPr>
              <w:spacing w:line="240" w:lineRule="auto"/>
              <w:jc w:val="center"/>
              <w:rPr>
                <w:b/>
                <w:bCs/>
                <w:sz w:val="19"/>
                <w:szCs w:val="19"/>
                <w:lang w:val="en-IN" w:eastAsia="en-IN"/>
              </w:rPr>
            </w:pPr>
            <w:r w:rsidRPr="00F73EEB">
              <w:rPr>
                <w:b/>
                <w:bCs/>
                <w:sz w:val="19"/>
                <w:szCs w:val="19"/>
                <w:lang w:val="en-IN" w:eastAsia="en-IN"/>
              </w:rPr>
              <w:t>2019-20</w:t>
            </w:r>
          </w:p>
        </w:tc>
        <w:tc>
          <w:tcPr>
            <w:tcW w:w="310" w:type="pct"/>
            <w:shd w:val="clear" w:color="000000" w:fill="ACB9CA"/>
            <w:vAlign w:val="center"/>
            <w:hideMark/>
          </w:tcPr>
          <w:p w:rsidR="00F73EEB" w:rsidRPr="00F73EEB" w:rsidRDefault="00F73EEB" w:rsidP="00F73EEB">
            <w:pPr>
              <w:spacing w:line="240" w:lineRule="auto"/>
              <w:jc w:val="center"/>
              <w:rPr>
                <w:b/>
                <w:bCs/>
                <w:sz w:val="19"/>
                <w:szCs w:val="19"/>
                <w:lang w:val="en-IN" w:eastAsia="en-IN"/>
              </w:rPr>
            </w:pPr>
            <w:r w:rsidRPr="00F73EEB">
              <w:rPr>
                <w:b/>
                <w:bCs/>
                <w:sz w:val="19"/>
                <w:szCs w:val="19"/>
                <w:lang w:val="en-IN" w:eastAsia="en-IN"/>
              </w:rPr>
              <w:t>2020-21</w:t>
            </w:r>
          </w:p>
        </w:tc>
        <w:tc>
          <w:tcPr>
            <w:tcW w:w="282" w:type="pct"/>
            <w:shd w:val="clear" w:color="000000" w:fill="ACB9CA"/>
            <w:vAlign w:val="center"/>
            <w:hideMark/>
          </w:tcPr>
          <w:p w:rsidR="00F73EEB" w:rsidRPr="00F73EEB" w:rsidRDefault="00F73EEB" w:rsidP="00F73EEB">
            <w:pPr>
              <w:spacing w:line="240" w:lineRule="auto"/>
              <w:jc w:val="center"/>
              <w:rPr>
                <w:b/>
                <w:bCs/>
                <w:sz w:val="19"/>
                <w:szCs w:val="19"/>
                <w:lang w:val="en-IN" w:eastAsia="en-IN"/>
              </w:rPr>
            </w:pPr>
            <w:r w:rsidRPr="00F73EEB">
              <w:rPr>
                <w:b/>
                <w:bCs/>
                <w:sz w:val="19"/>
                <w:szCs w:val="19"/>
                <w:lang w:val="en-IN" w:eastAsia="en-IN"/>
              </w:rPr>
              <w:t>2021-22</w:t>
            </w:r>
          </w:p>
        </w:tc>
        <w:tc>
          <w:tcPr>
            <w:tcW w:w="282" w:type="pct"/>
            <w:shd w:val="clear" w:color="000000" w:fill="ACB9CA"/>
            <w:vAlign w:val="center"/>
            <w:hideMark/>
          </w:tcPr>
          <w:p w:rsidR="00F73EEB" w:rsidRPr="00F73EEB" w:rsidRDefault="00F73EEB" w:rsidP="00F73EEB">
            <w:pPr>
              <w:spacing w:line="240" w:lineRule="auto"/>
              <w:jc w:val="center"/>
              <w:rPr>
                <w:b/>
                <w:bCs/>
                <w:sz w:val="19"/>
                <w:szCs w:val="19"/>
                <w:lang w:val="en-IN" w:eastAsia="en-IN"/>
              </w:rPr>
            </w:pPr>
            <w:r w:rsidRPr="00F73EEB">
              <w:rPr>
                <w:b/>
                <w:bCs/>
                <w:sz w:val="19"/>
                <w:szCs w:val="19"/>
                <w:lang w:val="en-IN" w:eastAsia="en-IN"/>
              </w:rPr>
              <w:t>2018-19</w:t>
            </w:r>
          </w:p>
        </w:tc>
        <w:tc>
          <w:tcPr>
            <w:tcW w:w="254" w:type="pct"/>
            <w:shd w:val="clear" w:color="000000" w:fill="ACB9CA"/>
            <w:vAlign w:val="center"/>
            <w:hideMark/>
          </w:tcPr>
          <w:p w:rsidR="00F73EEB" w:rsidRPr="00F73EEB" w:rsidRDefault="00F73EEB" w:rsidP="00F73EEB">
            <w:pPr>
              <w:spacing w:line="240" w:lineRule="auto"/>
              <w:jc w:val="center"/>
              <w:rPr>
                <w:b/>
                <w:bCs/>
                <w:sz w:val="19"/>
                <w:szCs w:val="19"/>
                <w:lang w:val="en-IN" w:eastAsia="en-IN"/>
              </w:rPr>
            </w:pPr>
            <w:r w:rsidRPr="00F73EEB">
              <w:rPr>
                <w:b/>
                <w:bCs/>
                <w:sz w:val="19"/>
                <w:szCs w:val="19"/>
                <w:lang w:val="en-IN" w:eastAsia="en-IN"/>
              </w:rPr>
              <w:t>2019-20</w:t>
            </w:r>
          </w:p>
        </w:tc>
        <w:tc>
          <w:tcPr>
            <w:tcW w:w="282" w:type="pct"/>
            <w:shd w:val="clear" w:color="000000" w:fill="ACB9CA"/>
            <w:vAlign w:val="center"/>
            <w:hideMark/>
          </w:tcPr>
          <w:p w:rsidR="00F73EEB" w:rsidRPr="00F73EEB" w:rsidRDefault="00F73EEB" w:rsidP="00F73EEB">
            <w:pPr>
              <w:spacing w:line="240" w:lineRule="auto"/>
              <w:jc w:val="center"/>
              <w:rPr>
                <w:b/>
                <w:bCs/>
                <w:sz w:val="19"/>
                <w:szCs w:val="19"/>
                <w:lang w:val="en-IN" w:eastAsia="en-IN"/>
              </w:rPr>
            </w:pPr>
            <w:r w:rsidRPr="00F73EEB">
              <w:rPr>
                <w:b/>
                <w:bCs/>
                <w:sz w:val="19"/>
                <w:szCs w:val="19"/>
                <w:lang w:val="en-IN" w:eastAsia="en-IN"/>
              </w:rPr>
              <w:t>2020-21</w:t>
            </w:r>
          </w:p>
        </w:tc>
        <w:tc>
          <w:tcPr>
            <w:tcW w:w="308" w:type="pct"/>
            <w:shd w:val="clear" w:color="000000" w:fill="ACB9CA"/>
            <w:vAlign w:val="center"/>
            <w:hideMark/>
          </w:tcPr>
          <w:p w:rsidR="00F73EEB" w:rsidRPr="00F73EEB" w:rsidRDefault="00F73EEB" w:rsidP="00F73EEB">
            <w:pPr>
              <w:spacing w:line="240" w:lineRule="auto"/>
              <w:jc w:val="center"/>
              <w:rPr>
                <w:b/>
                <w:bCs/>
                <w:sz w:val="19"/>
                <w:szCs w:val="19"/>
                <w:lang w:val="en-IN" w:eastAsia="en-IN"/>
              </w:rPr>
            </w:pPr>
            <w:r w:rsidRPr="00F73EEB">
              <w:rPr>
                <w:b/>
                <w:bCs/>
                <w:sz w:val="19"/>
                <w:szCs w:val="19"/>
                <w:lang w:val="en-IN" w:eastAsia="en-IN"/>
              </w:rPr>
              <w:t>2021-22</w:t>
            </w:r>
          </w:p>
        </w:tc>
        <w:tc>
          <w:tcPr>
            <w:tcW w:w="260" w:type="pct"/>
            <w:shd w:val="clear" w:color="000000" w:fill="ACB9CA"/>
            <w:vAlign w:val="center"/>
            <w:hideMark/>
          </w:tcPr>
          <w:p w:rsidR="00F73EEB" w:rsidRPr="00F73EEB" w:rsidRDefault="00F73EEB" w:rsidP="00F73EEB">
            <w:pPr>
              <w:spacing w:line="240" w:lineRule="auto"/>
              <w:jc w:val="center"/>
              <w:rPr>
                <w:b/>
                <w:bCs/>
                <w:sz w:val="19"/>
                <w:szCs w:val="19"/>
                <w:lang w:val="en-IN" w:eastAsia="en-IN"/>
              </w:rPr>
            </w:pPr>
            <w:r w:rsidRPr="00F73EEB">
              <w:rPr>
                <w:b/>
                <w:bCs/>
                <w:sz w:val="19"/>
                <w:szCs w:val="19"/>
                <w:lang w:val="en-IN" w:eastAsia="en-IN"/>
              </w:rPr>
              <w:t>2018-19</w:t>
            </w:r>
          </w:p>
        </w:tc>
        <w:tc>
          <w:tcPr>
            <w:tcW w:w="252" w:type="pct"/>
            <w:shd w:val="clear" w:color="000000" w:fill="ACB9CA"/>
            <w:vAlign w:val="center"/>
            <w:hideMark/>
          </w:tcPr>
          <w:p w:rsidR="00F73EEB" w:rsidRPr="00F73EEB" w:rsidRDefault="00F73EEB" w:rsidP="00F73EEB">
            <w:pPr>
              <w:spacing w:line="240" w:lineRule="auto"/>
              <w:jc w:val="center"/>
              <w:rPr>
                <w:b/>
                <w:bCs/>
                <w:sz w:val="19"/>
                <w:szCs w:val="19"/>
                <w:lang w:val="en-IN" w:eastAsia="en-IN"/>
              </w:rPr>
            </w:pPr>
            <w:r w:rsidRPr="00F73EEB">
              <w:rPr>
                <w:b/>
                <w:bCs/>
                <w:sz w:val="19"/>
                <w:szCs w:val="19"/>
                <w:lang w:val="en-IN" w:eastAsia="en-IN"/>
              </w:rPr>
              <w:t>2019-20</w:t>
            </w:r>
          </w:p>
        </w:tc>
        <w:tc>
          <w:tcPr>
            <w:tcW w:w="254" w:type="pct"/>
            <w:shd w:val="clear" w:color="000000" w:fill="ACB9CA"/>
            <w:vAlign w:val="center"/>
            <w:hideMark/>
          </w:tcPr>
          <w:p w:rsidR="00F73EEB" w:rsidRPr="00F73EEB" w:rsidRDefault="00F73EEB" w:rsidP="00F73EEB">
            <w:pPr>
              <w:spacing w:line="240" w:lineRule="auto"/>
              <w:jc w:val="center"/>
              <w:rPr>
                <w:b/>
                <w:bCs/>
                <w:sz w:val="19"/>
                <w:szCs w:val="19"/>
                <w:lang w:val="en-IN" w:eastAsia="en-IN"/>
              </w:rPr>
            </w:pPr>
            <w:r w:rsidRPr="00F73EEB">
              <w:rPr>
                <w:b/>
                <w:bCs/>
                <w:sz w:val="19"/>
                <w:szCs w:val="19"/>
                <w:lang w:val="en-IN" w:eastAsia="en-IN"/>
              </w:rPr>
              <w:t>2020-21</w:t>
            </w:r>
          </w:p>
        </w:tc>
        <w:tc>
          <w:tcPr>
            <w:tcW w:w="254" w:type="pct"/>
            <w:shd w:val="clear" w:color="000000" w:fill="ACB9CA"/>
            <w:vAlign w:val="center"/>
            <w:hideMark/>
          </w:tcPr>
          <w:p w:rsidR="00F73EEB" w:rsidRPr="00F73EEB" w:rsidRDefault="00F73EEB" w:rsidP="00F73EEB">
            <w:pPr>
              <w:spacing w:line="240" w:lineRule="auto"/>
              <w:jc w:val="center"/>
              <w:rPr>
                <w:b/>
                <w:bCs/>
                <w:sz w:val="19"/>
                <w:szCs w:val="19"/>
                <w:lang w:val="en-IN" w:eastAsia="en-IN"/>
              </w:rPr>
            </w:pPr>
            <w:r w:rsidRPr="00F73EEB">
              <w:rPr>
                <w:b/>
                <w:bCs/>
                <w:sz w:val="19"/>
                <w:szCs w:val="19"/>
                <w:lang w:val="en-IN" w:eastAsia="en-IN"/>
              </w:rPr>
              <w:t>2021-22</w:t>
            </w:r>
          </w:p>
        </w:tc>
        <w:tc>
          <w:tcPr>
            <w:tcW w:w="282" w:type="pct"/>
            <w:shd w:val="clear" w:color="000000" w:fill="ACB9CA"/>
            <w:vAlign w:val="center"/>
            <w:hideMark/>
          </w:tcPr>
          <w:p w:rsidR="00F73EEB" w:rsidRPr="00F73EEB" w:rsidRDefault="00F73EEB" w:rsidP="00F73EEB">
            <w:pPr>
              <w:spacing w:line="240" w:lineRule="auto"/>
              <w:jc w:val="center"/>
              <w:rPr>
                <w:b/>
                <w:bCs/>
                <w:sz w:val="19"/>
                <w:szCs w:val="19"/>
                <w:lang w:val="en-IN" w:eastAsia="en-IN"/>
              </w:rPr>
            </w:pPr>
            <w:r w:rsidRPr="00F73EEB">
              <w:rPr>
                <w:b/>
                <w:bCs/>
                <w:sz w:val="19"/>
                <w:szCs w:val="19"/>
                <w:lang w:val="en-IN" w:eastAsia="en-IN"/>
              </w:rPr>
              <w:t>2018-19</w:t>
            </w:r>
          </w:p>
        </w:tc>
        <w:tc>
          <w:tcPr>
            <w:tcW w:w="280" w:type="pct"/>
            <w:shd w:val="clear" w:color="000000" w:fill="ACB9CA"/>
            <w:vAlign w:val="center"/>
            <w:hideMark/>
          </w:tcPr>
          <w:p w:rsidR="00F73EEB" w:rsidRPr="00F73EEB" w:rsidRDefault="00F73EEB" w:rsidP="00F73EEB">
            <w:pPr>
              <w:spacing w:line="240" w:lineRule="auto"/>
              <w:jc w:val="center"/>
              <w:rPr>
                <w:b/>
                <w:bCs/>
                <w:sz w:val="19"/>
                <w:szCs w:val="19"/>
                <w:lang w:val="en-IN" w:eastAsia="en-IN"/>
              </w:rPr>
            </w:pPr>
            <w:r w:rsidRPr="00F73EEB">
              <w:rPr>
                <w:b/>
                <w:bCs/>
                <w:sz w:val="19"/>
                <w:szCs w:val="19"/>
                <w:lang w:val="en-IN" w:eastAsia="en-IN"/>
              </w:rPr>
              <w:t>2019-20</w:t>
            </w:r>
          </w:p>
        </w:tc>
        <w:tc>
          <w:tcPr>
            <w:tcW w:w="282" w:type="pct"/>
            <w:shd w:val="clear" w:color="000000" w:fill="ACB9CA"/>
            <w:vAlign w:val="center"/>
            <w:hideMark/>
          </w:tcPr>
          <w:p w:rsidR="00F73EEB" w:rsidRPr="00F73EEB" w:rsidRDefault="00F73EEB" w:rsidP="00F73EEB">
            <w:pPr>
              <w:spacing w:line="240" w:lineRule="auto"/>
              <w:jc w:val="center"/>
              <w:rPr>
                <w:b/>
                <w:bCs/>
                <w:sz w:val="19"/>
                <w:szCs w:val="19"/>
                <w:lang w:val="en-IN" w:eastAsia="en-IN"/>
              </w:rPr>
            </w:pPr>
            <w:r w:rsidRPr="00F73EEB">
              <w:rPr>
                <w:b/>
                <w:bCs/>
                <w:sz w:val="19"/>
                <w:szCs w:val="19"/>
                <w:lang w:val="en-IN" w:eastAsia="en-IN"/>
              </w:rPr>
              <w:t>2020-21</w:t>
            </w:r>
          </w:p>
        </w:tc>
        <w:tc>
          <w:tcPr>
            <w:tcW w:w="272" w:type="pct"/>
            <w:shd w:val="clear" w:color="000000" w:fill="ACB9CA"/>
            <w:vAlign w:val="center"/>
            <w:hideMark/>
          </w:tcPr>
          <w:p w:rsidR="00F73EEB" w:rsidRPr="00F73EEB" w:rsidRDefault="00F73EEB" w:rsidP="00F73EEB">
            <w:pPr>
              <w:spacing w:line="240" w:lineRule="auto"/>
              <w:jc w:val="center"/>
              <w:rPr>
                <w:b/>
                <w:bCs/>
                <w:sz w:val="19"/>
                <w:szCs w:val="19"/>
                <w:lang w:val="en-IN" w:eastAsia="en-IN"/>
              </w:rPr>
            </w:pPr>
            <w:r w:rsidRPr="00F73EEB">
              <w:rPr>
                <w:b/>
                <w:bCs/>
                <w:sz w:val="19"/>
                <w:szCs w:val="19"/>
                <w:lang w:val="en-IN" w:eastAsia="en-IN"/>
              </w:rPr>
              <w:t>2021-22</w:t>
            </w:r>
          </w:p>
        </w:tc>
      </w:tr>
      <w:tr w:rsidR="00C83EE1" w:rsidRPr="00F73EEB" w:rsidTr="00C83EE1">
        <w:trPr>
          <w:trHeight w:val="18"/>
          <w:jc w:val="center"/>
        </w:trPr>
        <w:tc>
          <w:tcPr>
            <w:tcW w:w="149" w:type="pct"/>
            <w:shd w:val="clear" w:color="auto" w:fill="auto"/>
            <w:hideMark/>
          </w:tcPr>
          <w:p w:rsidR="00F73EEB" w:rsidRPr="00F73EEB" w:rsidRDefault="00F73EEB" w:rsidP="00F73EEB">
            <w:pPr>
              <w:spacing w:line="240" w:lineRule="auto"/>
              <w:jc w:val="center"/>
              <w:rPr>
                <w:b/>
                <w:bCs/>
                <w:sz w:val="19"/>
                <w:szCs w:val="19"/>
                <w:lang w:val="en-IN" w:eastAsia="en-IN"/>
              </w:rPr>
            </w:pPr>
            <w:r w:rsidRPr="00F73EEB">
              <w:rPr>
                <w:b/>
                <w:bCs/>
                <w:sz w:val="19"/>
                <w:szCs w:val="19"/>
                <w:lang w:val="en-IN" w:eastAsia="en-IN"/>
              </w:rPr>
              <w:t>A</w:t>
            </w:r>
          </w:p>
        </w:tc>
        <w:tc>
          <w:tcPr>
            <w:tcW w:w="461" w:type="pct"/>
            <w:shd w:val="clear" w:color="auto" w:fill="auto"/>
            <w:hideMark/>
          </w:tcPr>
          <w:p w:rsidR="00F73EEB" w:rsidRPr="00F73EEB" w:rsidRDefault="00F73EEB" w:rsidP="00F73EEB">
            <w:pPr>
              <w:spacing w:line="240" w:lineRule="auto"/>
              <w:jc w:val="left"/>
              <w:rPr>
                <w:b/>
                <w:bCs/>
                <w:sz w:val="19"/>
                <w:szCs w:val="19"/>
                <w:lang w:val="en-IN" w:eastAsia="en-IN"/>
              </w:rPr>
            </w:pPr>
            <w:r w:rsidRPr="00F73EEB">
              <w:rPr>
                <w:b/>
                <w:bCs/>
                <w:sz w:val="19"/>
                <w:szCs w:val="19"/>
                <w:lang w:val="en-IN" w:eastAsia="en-IN"/>
              </w:rPr>
              <w:t>Central Sector Power Stations</w:t>
            </w:r>
          </w:p>
        </w:tc>
        <w:tc>
          <w:tcPr>
            <w:tcW w:w="254"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p>
        </w:tc>
        <w:tc>
          <w:tcPr>
            <w:tcW w:w="310"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p>
        </w:tc>
        <w:tc>
          <w:tcPr>
            <w:tcW w:w="308"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p>
        </w:tc>
        <w:tc>
          <w:tcPr>
            <w:tcW w:w="260"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p>
        </w:tc>
        <w:tc>
          <w:tcPr>
            <w:tcW w:w="25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p>
        </w:tc>
        <w:tc>
          <w:tcPr>
            <w:tcW w:w="280"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p>
        </w:tc>
        <w:tc>
          <w:tcPr>
            <w:tcW w:w="27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p>
        </w:tc>
      </w:tr>
      <w:tr w:rsidR="00C83EE1" w:rsidRPr="00F73EEB" w:rsidTr="00C83EE1">
        <w:trPr>
          <w:trHeight w:val="18"/>
          <w:jc w:val="center"/>
        </w:trPr>
        <w:tc>
          <w:tcPr>
            <w:tcW w:w="149" w:type="pct"/>
            <w:shd w:val="clear" w:color="auto" w:fill="auto"/>
            <w:hideMark/>
          </w:tcPr>
          <w:p w:rsidR="00F73EEB" w:rsidRPr="00F73EEB" w:rsidRDefault="00F73EEB" w:rsidP="00F73EEB">
            <w:pPr>
              <w:spacing w:line="240" w:lineRule="auto"/>
              <w:jc w:val="center"/>
              <w:rPr>
                <w:b/>
                <w:bCs/>
                <w:sz w:val="19"/>
                <w:szCs w:val="19"/>
                <w:lang w:val="en-IN" w:eastAsia="en-IN"/>
              </w:rPr>
            </w:pPr>
            <w:r w:rsidRPr="00F73EEB">
              <w:rPr>
                <w:b/>
                <w:bCs/>
                <w:sz w:val="19"/>
                <w:szCs w:val="19"/>
                <w:lang w:val="en-IN" w:eastAsia="en-IN"/>
              </w:rPr>
              <w:t>I</w:t>
            </w:r>
          </w:p>
        </w:tc>
        <w:tc>
          <w:tcPr>
            <w:tcW w:w="461" w:type="pct"/>
            <w:shd w:val="clear" w:color="auto" w:fill="auto"/>
            <w:hideMark/>
          </w:tcPr>
          <w:p w:rsidR="00F73EEB" w:rsidRPr="00F73EEB" w:rsidRDefault="00F73EEB" w:rsidP="00F73EEB">
            <w:pPr>
              <w:spacing w:line="240" w:lineRule="auto"/>
              <w:jc w:val="left"/>
              <w:rPr>
                <w:b/>
                <w:bCs/>
                <w:sz w:val="19"/>
                <w:szCs w:val="19"/>
                <w:lang w:val="en-IN" w:eastAsia="en-IN"/>
              </w:rPr>
            </w:pPr>
            <w:r w:rsidRPr="00F73EEB">
              <w:rPr>
                <w:b/>
                <w:bCs/>
                <w:sz w:val="19"/>
                <w:szCs w:val="19"/>
                <w:lang w:val="en-IN" w:eastAsia="en-IN"/>
              </w:rPr>
              <w:t>NTPC</w:t>
            </w:r>
          </w:p>
        </w:tc>
        <w:tc>
          <w:tcPr>
            <w:tcW w:w="254"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1,150.03</w:t>
            </w:r>
          </w:p>
        </w:tc>
        <w:tc>
          <w:tcPr>
            <w:tcW w:w="28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1,150.03</w:t>
            </w:r>
          </w:p>
        </w:tc>
        <w:tc>
          <w:tcPr>
            <w:tcW w:w="310"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1,150.03</w:t>
            </w:r>
          </w:p>
        </w:tc>
        <w:tc>
          <w:tcPr>
            <w:tcW w:w="28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1,150.03</w:t>
            </w:r>
          </w:p>
        </w:tc>
        <w:tc>
          <w:tcPr>
            <w:tcW w:w="28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247.38</w:t>
            </w:r>
          </w:p>
        </w:tc>
        <w:tc>
          <w:tcPr>
            <w:tcW w:w="254" w:type="pct"/>
            <w:shd w:val="clear" w:color="auto" w:fill="auto"/>
            <w:vAlign w:val="center"/>
            <w:hideMark/>
          </w:tcPr>
          <w:p w:rsidR="00F73EEB" w:rsidRPr="00F73EEB" w:rsidRDefault="007854F0" w:rsidP="00735CAB">
            <w:pPr>
              <w:spacing w:line="240" w:lineRule="auto"/>
              <w:jc w:val="right"/>
              <w:rPr>
                <w:b/>
                <w:bCs/>
                <w:sz w:val="19"/>
                <w:szCs w:val="19"/>
                <w:lang w:val="en-IN" w:eastAsia="en-IN"/>
              </w:rPr>
            </w:pPr>
            <w:r>
              <w:rPr>
                <w:b/>
                <w:bCs/>
                <w:sz w:val="19"/>
                <w:szCs w:val="19"/>
                <w:lang w:val="en-IN" w:eastAsia="en-IN"/>
              </w:rPr>
              <w:t>257.28</w:t>
            </w:r>
          </w:p>
        </w:tc>
        <w:tc>
          <w:tcPr>
            <w:tcW w:w="28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267.56</w:t>
            </w:r>
          </w:p>
        </w:tc>
        <w:tc>
          <w:tcPr>
            <w:tcW w:w="308" w:type="pct"/>
            <w:shd w:val="clear" w:color="auto" w:fill="auto"/>
            <w:vAlign w:val="center"/>
            <w:hideMark/>
          </w:tcPr>
          <w:p w:rsidR="00F73EEB" w:rsidRPr="00F73EEB" w:rsidRDefault="001B5C66" w:rsidP="00735CAB">
            <w:pPr>
              <w:spacing w:line="240" w:lineRule="auto"/>
              <w:jc w:val="right"/>
              <w:rPr>
                <w:b/>
                <w:bCs/>
                <w:sz w:val="19"/>
                <w:szCs w:val="19"/>
                <w:lang w:val="en-IN" w:eastAsia="en-IN"/>
              </w:rPr>
            </w:pPr>
            <w:r>
              <w:rPr>
                <w:b/>
                <w:bCs/>
                <w:sz w:val="19"/>
                <w:szCs w:val="19"/>
                <w:lang w:val="en-IN" w:eastAsia="en-IN"/>
              </w:rPr>
              <w:t>278.26</w:t>
            </w:r>
          </w:p>
        </w:tc>
        <w:tc>
          <w:tcPr>
            <w:tcW w:w="260"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95.49</w:t>
            </w:r>
          </w:p>
        </w:tc>
        <w:tc>
          <w:tcPr>
            <w:tcW w:w="252" w:type="pct"/>
            <w:shd w:val="clear" w:color="auto" w:fill="auto"/>
            <w:vAlign w:val="center"/>
            <w:hideMark/>
          </w:tcPr>
          <w:p w:rsidR="00F73EEB" w:rsidRPr="00F73EEB" w:rsidRDefault="00F73EEB" w:rsidP="00774350">
            <w:pPr>
              <w:spacing w:line="240" w:lineRule="auto"/>
              <w:jc w:val="right"/>
              <w:rPr>
                <w:b/>
                <w:bCs/>
                <w:sz w:val="19"/>
                <w:szCs w:val="19"/>
                <w:lang w:val="en-IN" w:eastAsia="en-IN"/>
              </w:rPr>
            </w:pPr>
            <w:r w:rsidRPr="00F73EEB">
              <w:rPr>
                <w:b/>
                <w:bCs/>
                <w:sz w:val="19"/>
                <w:szCs w:val="19"/>
                <w:lang w:val="en-IN" w:eastAsia="en-IN"/>
              </w:rPr>
              <w:t>99.3</w:t>
            </w:r>
            <w:r w:rsidR="00774350">
              <w:rPr>
                <w:b/>
                <w:bCs/>
                <w:sz w:val="19"/>
                <w:szCs w:val="19"/>
                <w:lang w:val="en-IN" w:eastAsia="en-IN"/>
              </w:rPr>
              <w:t>2</w:t>
            </w:r>
          </w:p>
        </w:tc>
        <w:tc>
          <w:tcPr>
            <w:tcW w:w="254"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103.28</w:t>
            </w:r>
          </w:p>
        </w:tc>
        <w:tc>
          <w:tcPr>
            <w:tcW w:w="254" w:type="pct"/>
            <w:shd w:val="clear" w:color="auto" w:fill="auto"/>
            <w:vAlign w:val="center"/>
            <w:hideMark/>
          </w:tcPr>
          <w:p w:rsidR="00F73EEB" w:rsidRPr="00F73EEB" w:rsidRDefault="00774350" w:rsidP="00735CAB">
            <w:pPr>
              <w:spacing w:line="240" w:lineRule="auto"/>
              <w:jc w:val="right"/>
              <w:rPr>
                <w:b/>
                <w:bCs/>
                <w:sz w:val="19"/>
                <w:szCs w:val="19"/>
                <w:lang w:val="en-IN" w:eastAsia="en-IN"/>
              </w:rPr>
            </w:pPr>
            <w:r>
              <w:rPr>
                <w:b/>
                <w:bCs/>
                <w:sz w:val="19"/>
                <w:szCs w:val="19"/>
                <w:lang w:val="en-IN" w:eastAsia="en-IN"/>
              </w:rPr>
              <w:t>107.42</w:t>
            </w:r>
          </w:p>
        </w:tc>
        <w:tc>
          <w:tcPr>
            <w:tcW w:w="28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342.87</w:t>
            </w:r>
          </w:p>
        </w:tc>
        <w:tc>
          <w:tcPr>
            <w:tcW w:w="280"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356.58</w:t>
            </w:r>
          </w:p>
        </w:tc>
        <w:tc>
          <w:tcPr>
            <w:tcW w:w="282" w:type="pct"/>
            <w:shd w:val="clear" w:color="auto" w:fill="auto"/>
            <w:vAlign w:val="center"/>
            <w:hideMark/>
          </w:tcPr>
          <w:p w:rsidR="00F73EEB" w:rsidRPr="00F73EEB" w:rsidRDefault="00774350" w:rsidP="00735CAB">
            <w:pPr>
              <w:spacing w:line="240" w:lineRule="auto"/>
              <w:jc w:val="right"/>
              <w:rPr>
                <w:b/>
                <w:bCs/>
                <w:sz w:val="19"/>
                <w:szCs w:val="19"/>
                <w:lang w:val="en-IN" w:eastAsia="en-IN"/>
              </w:rPr>
            </w:pPr>
            <w:r>
              <w:rPr>
                <w:b/>
                <w:bCs/>
                <w:sz w:val="19"/>
                <w:szCs w:val="19"/>
                <w:lang w:val="en-IN" w:eastAsia="en-IN"/>
              </w:rPr>
              <w:t>370.84</w:t>
            </w:r>
          </w:p>
        </w:tc>
        <w:tc>
          <w:tcPr>
            <w:tcW w:w="27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385.68</w:t>
            </w:r>
          </w:p>
        </w:tc>
      </w:tr>
      <w:tr w:rsidR="00C83EE1" w:rsidRPr="00F73EEB" w:rsidTr="00C83EE1">
        <w:trPr>
          <w:trHeight w:val="18"/>
          <w:jc w:val="center"/>
        </w:trPr>
        <w:tc>
          <w:tcPr>
            <w:tcW w:w="149" w:type="pct"/>
            <w:shd w:val="clear" w:color="auto" w:fill="auto"/>
            <w:hideMark/>
          </w:tcPr>
          <w:p w:rsidR="00F73EEB" w:rsidRPr="00F73EEB" w:rsidRDefault="00F73EEB" w:rsidP="00F73EEB">
            <w:pPr>
              <w:spacing w:line="240" w:lineRule="auto"/>
              <w:jc w:val="center"/>
              <w:rPr>
                <w:sz w:val="19"/>
                <w:szCs w:val="19"/>
                <w:lang w:val="en-IN" w:eastAsia="en-IN"/>
              </w:rPr>
            </w:pPr>
            <w:r w:rsidRPr="00F73EEB">
              <w:rPr>
                <w:sz w:val="19"/>
                <w:szCs w:val="19"/>
                <w:lang w:val="en-IN" w:eastAsia="en-IN"/>
              </w:rPr>
              <w:t> </w:t>
            </w:r>
          </w:p>
        </w:tc>
        <w:tc>
          <w:tcPr>
            <w:tcW w:w="461" w:type="pct"/>
            <w:shd w:val="clear" w:color="auto" w:fill="auto"/>
            <w:noWrap/>
            <w:vAlign w:val="bottom"/>
            <w:hideMark/>
          </w:tcPr>
          <w:p w:rsidR="00F73EEB" w:rsidRPr="00F73EEB" w:rsidRDefault="00F73EEB" w:rsidP="00F73EEB">
            <w:pPr>
              <w:spacing w:line="240" w:lineRule="auto"/>
              <w:jc w:val="left"/>
              <w:rPr>
                <w:sz w:val="19"/>
                <w:szCs w:val="19"/>
                <w:lang w:val="en-IN" w:eastAsia="en-IN"/>
              </w:rPr>
            </w:pPr>
            <w:r w:rsidRPr="00F73EEB">
              <w:rPr>
                <w:sz w:val="19"/>
                <w:szCs w:val="19"/>
                <w:lang w:val="en-IN" w:eastAsia="en-IN"/>
              </w:rPr>
              <w:t>RSTPS Stage I &amp; II</w:t>
            </w:r>
          </w:p>
        </w:tc>
        <w:tc>
          <w:tcPr>
            <w:tcW w:w="254"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483.66</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483.66</w:t>
            </w:r>
          </w:p>
        </w:tc>
        <w:tc>
          <w:tcPr>
            <w:tcW w:w="310"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483.66</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483.66</w:t>
            </w:r>
          </w:p>
        </w:tc>
        <w:tc>
          <w:tcPr>
            <w:tcW w:w="282" w:type="pct"/>
            <w:shd w:val="clear" w:color="auto" w:fill="auto"/>
            <w:noWrap/>
            <w:vAlign w:val="center"/>
            <w:hideMark/>
          </w:tcPr>
          <w:p w:rsidR="00F73EEB" w:rsidRPr="00F73EEB" w:rsidRDefault="00F73EEB" w:rsidP="00735CAB">
            <w:pPr>
              <w:spacing w:line="240" w:lineRule="auto"/>
              <w:jc w:val="right"/>
              <w:rPr>
                <w:color w:val="000000"/>
                <w:sz w:val="19"/>
                <w:szCs w:val="19"/>
                <w:lang w:val="en-IN" w:eastAsia="en-IN"/>
              </w:rPr>
            </w:pPr>
            <w:r w:rsidRPr="00F73EEB">
              <w:rPr>
                <w:color w:val="000000"/>
                <w:sz w:val="19"/>
                <w:szCs w:val="19"/>
                <w:lang w:val="en-IN" w:eastAsia="en-IN"/>
              </w:rPr>
              <w:t>116.08</w:t>
            </w: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120.72</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125.55</w:t>
            </w:r>
          </w:p>
        </w:tc>
        <w:tc>
          <w:tcPr>
            <w:tcW w:w="308"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130.57</w:t>
            </w:r>
          </w:p>
        </w:tc>
        <w:tc>
          <w:tcPr>
            <w:tcW w:w="260"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37.14</w:t>
            </w:r>
          </w:p>
        </w:tc>
        <w:tc>
          <w:tcPr>
            <w:tcW w:w="25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38.63</w:t>
            </w: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40.17</w:t>
            </w: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41.78</w:t>
            </w:r>
          </w:p>
        </w:tc>
        <w:tc>
          <w:tcPr>
            <w:tcW w:w="282"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153.22</w:t>
            </w:r>
          </w:p>
        </w:tc>
        <w:tc>
          <w:tcPr>
            <w:tcW w:w="280"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159.35</w:t>
            </w:r>
          </w:p>
        </w:tc>
        <w:tc>
          <w:tcPr>
            <w:tcW w:w="282"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165.72</w:t>
            </w:r>
          </w:p>
        </w:tc>
        <w:tc>
          <w:tcPr>
            <w:tcW w:w="272"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172.35</w:t>
            </w:r>
          </w:p>
        </w:tc>
      </w:tr>
      <w:tr w:rsidR="00C83EE1" w:rsidRPr="00F73EEB" w:rsidTr="00C83EE1">
        <w:trPr>
          <w:trHeight w:val="18"/>
          <w:jc w:val="center"/>
        </w:trPr>
        <w:tc>
          <w:tcPr>
            <w:tcW w:w="149" w:type="pct"/>
            <w:shd w:val="clear" w:color="auto" w:fill="auto"/>
            <w:hideMark/>
          </w:tcPr>
          <w:p w:rsidR="00F73EEB" w:rsidRPr="00F73EEB" w:rsidRDefault="00F73EEB" w:rsidP="00F73EEB">
            <w:pPr>
              <w:spacing w:line="240" w:lineRule="auto"/>
              <w:jc w:val="center"/>
              <w:rPr>
                <w:sz w:val="19"/>
                <w:szCs w:val="19"/>
                <w:lang w:val="en-IN" w:eastAsia="en-IN"/>
              </w:rPr>
            </w:pPr>
            <w:r w:rsidRPr="00F73EEB">
              <w:rPr>
                <w:sz w:val="19"/>
                <w:szCs w:val="19"/>
                <w:lang w:val="en-IN" w:eastAsia="en-IN"/>
              </w:rPr>
              <w:t> </w:t>
            </w:r>
          </w:p>
        </w:tc>
        <w:tc>
          <w:tcPr>
            <w:tcW w:w="461" w:type="pct"/>
            <w:shd w:val="clear" w:color="auto" w:fill="auto"/>
            <w:noWrap/>
            <w:vAlign w:val="bottom"/>
            <w:hideMark/>
          </w:tcPr>
          <w:p w:rsidR="00F73EEB" w:rsidRPr="00F73EEB" w:rsidRDefault="00F73EEB" w:rsidP="00F73EEB">
            <w:pPr>
              <w:spacing w:line="240" w:lineRule="auto"/>
              <w:jc w:val="left"/>
              <w:rPr>
                <w:sz w:val="19"/>
                <w:szCs w:val="19"/>
                <w:lang w:val="en-IN" w:eastAsia="en-IN"/>
              </w:rPr>
            </w:pPr>
            <w:r w:rsidRPr="00F73EEB">
              <w:rPr>
                <w:sz w:val="19"/>
                <w:szCs w:val="19"/>
                <w:lang w:val="en-IN" w:eastAsia="en-IN"/>
              </w:rPr>
              <w:t>RSTPS Stage -III</w:t>
            </w:r>
          </w:p>
        </w:tc>
        <w:tc>
          <w:tcPr>
            <w:tcW w:w="254"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136.01</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136.01</w:t>
            </w:r>
          </w:p>
        </w:tc>
        <w:tc>
          <w:tcPr>
            <w:tcW w:w="310"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136.01</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136.01</w:t>
            </w:r>
          </w:p>
        </w:tc>
        <w:tc>
          <w:tcPr>
            <w:tcW w:w="282" w:type="pct"/>
            <w:shd w:val="clear" w:color="auto" w:fill="auto"/>
            <w:noWrap/>
            <w:vAlign w:val="center"/>
            <w:hideMark/>
          </w:tcPr>
          <w:p w:rsidR="00F73EEB" w:rsidRPr="00F73EEB" w:rsidRDefault="00F73EEB" w:rsidP="00735CAB">
            <w:pPr>
              <w:spacing w:line="240" w:lineRule="auto"/>
              <w:jc w:val="right"/>
              <w:rPr>
                <w:color w:val="000000"/>
                <w:sz w:val="19"/>
                <w:szCs w:val="19"/>
                <w:lang w:val="en-IN" w:eastAsia="en-IN"/>
              </w:rPr>
            </w:pPr>
            <w:r w:rsidRPr="00F73EEB">
              <w:rPr>
                <w:color w:val="000000"/>
                <w:sz w:val="19"/>
                <w:szCs w:val="19"/>
                <w:lang w:val="en-IN" w:eastAsia="en-IN"/>
              </w:rPr>
              <w:t>31.89</w:t>
            </w: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33.17</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34.49</w:t>
            </w:r>
          </w:p>
        </w:tc>
        <w:tc>
          <w:tcPr>
            <w:tcW w:w="308"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35.87</w:t>
            </w:r>
          </w:p>
        </w:tc>
        <w:tc>
          <w:tcPr>
            <w:tcW w:w="260"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10.14</w:t>
            </w:r>
          </w:p>
        </w:tc>
        <w:tc>
          <w:tcPr>
            <w:tcW w:w="25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10.55</w:t>
            </w: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10.97</w:t>
            </w: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11.41</w:t>
            </w:r>
          </w:p>
        </w:tc>
        <w:tc>
          <w:tcPr>
            <w:tcW w:w="282"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42.03</w:t>
            </w:r>
          </w:p>
        </w:tc>
        <w:tc>
          <w:tcPr>
            <w:tcW w:w="280"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43.71</w:t>
            </w:r>
          </w:p>
        </w:tc>
        <w:tc>
          <w:tcPr>
            <w:tcW w:w="282"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45.46</w:t>
            </w:r>
          </w:p>
        </w:tc>
        <w:tc>
          <w:tcPr>
            <w:tcW w:w="272"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47.28</w:t>
            </w:r>
          </w:p>
        </w:tc>
      </w:tr>
      <w:tr w:rsidR="00C83EE1" w:rsidRPr="00F73EEB" w:rsidTr="00C83EE1">
        <w:trPr>
          <w:trHeight w:val="18"/>
          <w:jc w:val="center"/>
        </w:trPr>
        <w:tc>
          <w:tcPr>
            <w:tcW w:w="149" w:type="pct"/>
            <w:shd w:val="clear" w:color="auto" w:fill="auto"/>
            <w:hideMark/>
          </w:tcPr>
          <w:p w:rsidR="00F73EEB" w:rsidRPr="00F73EEB" w:rsidRDefault="00F73EEB" w:rsidP="00F73EEB">
            <w:pPr>
              <w:spacing w:line="240" w:lineRule="auto"/>
              <w:jc w:val="center"/>
              <w:rPr>
                <w:sz w:val="19"/>
                <w:szCs w:val="19"/>
                <w:lang w:val="en-IN" w:eastAsia="en-IN"/>
              </w:rPr>
            </w:pPr>
            <w:r w:rsidRPr="00F73EEB">
              <w:rPr>
                <w:sz w:val="19"/>
                <w:szCs w:val="19"/>
                <w:lang w:val="en-IN" w:eastAsia="en-IN"/>
              </w:rPr>
              <w:t> </w:t>
            </w:r>
          </w:p>
        </w:tc>
        <w:tc>
          <w:tcPr>
            <w:tcW w:w="461" w:type="pct"/>
            <w:shd w:val="clear" w:color="auto" w:fill="auto"/>
            <w:noWrap/>
            <w:vAlign w:val="bottom"/>
            <w:hideMark/>
          </w:tcPr>
          <w:p w:rsidR="00F73EEB" w:rsidRPr="00F73EEB" w:rsidRDefault="00F73EEB" w:rsidP="00F73EEB">
            <w:pPr>
              <w:spacing w:line="240" w:lineRule="auto"/>
              <w:jc w:val="left"/>
              <w:rPr>
                <w:sz w:val="19"/>
                <w:szCs w:val="19"/>
                <w:lang w:val="en-IN" w:eastAsia="en-IN"/>
              </w:rPr>
            </w:pPr>
            <w:r w:rsidRPr="00F73EEB">
              <w:rPr>
                <w:sz w:val="19"/>
                <w:szCs w:val="19"/>
                <w:lang w:val="en-IN" w:eastAsia="en-IN"/>
              </w:rPr>
              <w:t>Talcher  Stage- II</w:t>
            </w:r>
          </w:p>
        </w:tc>
        <w:tc>
          <w:tcPr>
            <w:tcW w:w="254"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431.50</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431.50</w:t>
            </w:r>
          </w:p>
        </w:tc>
        <w:tc>
          <w:tcPr>
            <w:tcW w:w="310"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431.50</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431.50</w:t>
            </w:r>
          </w:p>
        </w:tc>
        <w:tc>
          <w:tcPr>
            <w:tcW w:w="282" w:type="pct"/>
            <w:shd w:val="clear" w:color="auto" w:fill="auto"/>
            <w:noWrap/>
            <w:vAlign w:val="center"/>
            <w:hideMark/>
          </w:tcPr>
          <w:p w:rsidR="00F73EEB" w:rsidRPr="00F73EEB" w:rsidRDefault="00F73EEB" w:rsidP="00735CAB">
            <w:pPr>
              <w:spacing w:line="240" w:lineRule="auto"/>
              <w:jc w:val="right"/>
              <w:rPr>
                <w:color w:val="000000"/>
                <w:sz w:val="19"/>
                <w:szCs w:val="19"/>
                <w:lang w:val="en-IN" w:eastAsia="en-IN"/>
              </w:rPr>
            </w:pPr>
            <w:r w:rsidRPr="00F73EEB">
              <w:rPr>
                <w:color w:val="000000"/>
                <w:sz w:val="19"/>
                <w:szCs w:val="19"/>
                <w:lang w:val="en-IN" w:eastAsia="en-IN"/>
              </w:rPr>
              <w:t>70.66</w:t>
            </w: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73.49</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76.43</w:t>
            </w:r>
          </w:p>
        </w:tc>
        <w:tc>
          <w:tcPr>
            <w:tcW w:w="308"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79.48</w:t>
            </w:r>
          </w:p>
        </w:tc>
        <w:tc>
          <w:tcPr>
            <w:tcW w:w="260"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31.63</w:t>
            </w:r>
          </w:p>
        </w:tc>
        <w:tc>
          <w:tcPr>
            <w:tcW w:w="25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32.90</w:t>
            </w: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34.21</w:t>
            </w: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35.58</w:t>
            </w:r>
          </w:p>
        </w:tc>
        <w:tc>
          <w:tcPr>
            <w:tcW w:w="282"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102.29</w:t>
            </w:r>
          </w:p>
        </w:tc>
        <w:tc>
          <w:tcPr>
            <w:tcW w:w="280"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106.38</w:t>
            </w:r>
          </w:p>
        </w:tc>
        <w:tc>
          <w:tcPr>
            <w:tcW w:w="282"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110.64</w:t>
            </w:r>
          </w:p>
        </w:tc>
        <w:tc>
          <w:tcPr>
            <w:tcW w:w="272"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115.06</w:t>
            </w:r>
          </w:p>
        </w:tc>
      </w:tr>
      <w:tr w:rsidR="00C83EE1" w:rsidRPr="00F73EEB" w:rsidTr="00C83EE1">
        <w:trPr>
          <w:trHeight w:val="18"/>
          <w:jc w:val="center"/>
        </w:trPr>
        <w:tc>
          <w:tcPr>
            <w:tcW w:w="149" w:type="pct"/>
            <w:shd w:val="clear" w:color="auto" w:fill="auto"/>
            <w:hideMark/>
          </w:tcPr>
          <w:p w:rsidR="00F73EEB" w:rsidRPr="00F73EEB" w:rsidRDefault="00F73EEB" w:rsidP="00F73EEB">
            <w:pPr>
              <w:spacing w:line="240" w:lineRule="auto"/>
              <w:jc w:val="center"/>
              <w:rPr>
                <w:sz w:val="19"/>
                <w:szCs w:val="19"/>
                <w:lang w:val="en-IN" w:eastAsia="en-IN"/>
              </w:rPr>
            </w:pPr>
            <w:r w:rsidRPr="00F73EEB">
              <w:rPr>
                <w:sz w:val="19"/>
                <w:szCs w:val="19"/>
                <w:lang w:val="en-IN" w:eastAsia="en-IN"/>
              </w:rPr>
              <w:t> </w:t>
            </w:r>
          </w:p>
        </w:tc>
        <w:tc>
          <w:tcPr>
            <w:tcW w:w="461" w:type="pct"/>
            <w:shd w:val="clear" w:color="auto" w:fill="auto"/>
            <w:noWrap/>
            <w:vAlign w:val="bottom"/>
            <w:hideMark/>
          </w:tcPr>
          <w:p w:rsidR="00F73EEB" w:rsidRPr="00F73EEB" w:rsidRDefault="00F73EEB" w:rsidP="00F73EEB">
            <w:pPr>
              <w:spacing w:line="240" w:lineRule="auto"/>
              <w:jc w:val="left"/>
              <w:rPr>
                <w:sz w:val="19"/>
                <w:szCs w:val="19"/>
                <w:lang w:val="en-IN" w:eastAsia="en-IN"/>
              </w:rPr>
            </w:pPr>
            <w:r w:rsidRPr="00F73EEB">
              <w:rPr>
                <w:sz w:val="19"/>
                <w:szCs w:val="19"/>
                <w:lang w:val="en-IN" w:eastAsia="en-IN"/>
              </w:rPr>
              <w:t>Simhadri Stage- II</w:t>
            </w:r>
          </w:p>
        </w:tc>
        <w:tc>
          <w:tcPr>
            <w:tcW w:w="254"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98.86</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98.86</w:t>
            </w:r>
          </w:p>
        </w:tc>
        <w:tc>
          <w:tcPr>
            <w:tcW w:w="310"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98.86</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98.86</w:t>
            </w:r>
          </w:p>
        </w:tc>
        <w:tc>
          <w:tcPr>
            <w:tcW w:w="282" w:type="pct"/>
            <w:shd w:val="clear" w:color="auto" w:fill="auto"/>
            <w:noWrap/>
            <w:vAlign w:val="center"/>
            <w:hideMark/>
          </w:tcPr>
          <w:p w:rsidR="00F73EEB" w:rsidRPr="00F73EEB" w:rsidRDefault="00F73EEB" w:rsidP="00735CAB">
            <w:pPr>
              <w:spacing w:line="240" w:lineRule="auto"/>
              <w:jc w:val="right"/>
              <w:rPr>
                <w:color w:val="000000"/>
                <w:sz w:val="19"/>
                <w:szCs w:val="19"/>
                <w:lang w:val="en-IN" w:eastAsia="en-IN"/>
              </w:rPr>
            </w:pPr>
            <w:r w:rsidRPr="00F73EEB">
              <w:rPr>
                <w:color w:val="000000"/>
                <w:sz w:val="19"/>
                <w:szCs w:val="19"/>
                <w:lang w:val="en-IN" w:eastAsia="en-IN"/>
              </w:rPr>
              <w:t>28.75</w:t>
            </w: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29.90</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31.09</w:t>
            </w:r>
          </w:p>
        </w:tc>
        <w:tc>
          <w:tcPr>
            <w:tcW w:w="308"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32.34</w:t>
            </w:r>
          </w:p>
        </w:tc>
        <w:tc>
          <w:tcPr>
            <w:tcW w:w="260"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16.58</w:t>
            </w:r>
          </w:p>
        </w:tc>
        <w:tc>
          <w:tcPr>
            <w:tcW w:w="25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17.24</w:t>
            </w: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17.93</w:t>
            </w: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18.65</w:t>
            </w:r>
          </w:p>
        </w:tc>
        <w:tc>
          <w:tcPr>
            <w:tcW w:w="282"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45.33</w:t>
            </w:r>
          </w:p>
        </w:tc>
        <w:tc>
          <w:tcPr>
            <w:tcW w:w="280"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47.14</w:t>
            </w:r>
          </w:p>
        </w:tc>
        <w:tc>
          <w:tcPr>
            <w:tcW w:w="282"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49.02</w:t>
            </w:r>
          </w:p>
        </w:tc>
        <w:tc>
          <w:tcPr>
            <w:tcW w:w="272"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50.99</w:t>
            </w:r>
          </w:p>
        </w:tc>
      </w:tr>
      <w:tr w:rsidR="00C83EE1" w:rsidRPr="00F73EEB" w:rsidTr="00C83EE1">
        <w:trPr>
          <w:trHeight w:val="18"/>
          <w:jc w:val="center"/>
        </w:trPr>
        <w:tc>
          <w:tcPr>
            <w:tcW w:w="149" w:type="pct"/>
            <w:shd w:val="clear" w:color="auto" w:fill="auto"/>
            <w:hideMark/>
          </w:tcPr>
          <w:p w:rsidR="00F73EEB" w:rsidRPr="00F73EEB" w:rsidRDefault="00F73EEB" w:rsidP="00F73EEB">
            <w:pPr>
              <w:spacing w:line="240" w:lineRule="auto"/>
              <w:jc w:val="center"/>
              <w:rPr>
                <w:sz w:val="19"/>
                <w:szCs w:val="19"/>
                <w:lang w:val="en-IN" w:eastAsia="en-IN"/>
              </w:rPr>
            </w:pPr>
            <w:r w:rsidRPr="00F73EEB">
              <w:rPr>
                <w:sz w:val="19"/>
                <w:szCs w:val="19"/>
                <w:lang w:val="en-IN" w:eastAsia="en-IN"/>
              </w:rPr>
              <w:t> </w:t>
            </w:r>
          </w:p>
        </w:tc>
        <w:tc>
          <w:tcPr>
            <w:tcW w:w="461" w:type="pct"/>
            <w:shd w:val="clear" w:color="auto" w:fill="auto"/>
            <w:hideMark/>
          </w:tcPr>
          <w:p w:rsidR="00F73EEB" w:rsidRPr="00F73EEB" w:rsidRDefault="00F73EEB" w:rsidP="00F73EEB">
            <w:pPr>
              <w:spacing w:line="240" w:lineRule="auto"/>
              <w:ind w:firstLineChars="100" w:firstLine="190"/>
              <w:jc w:val="left"/>
              <w:rPr>
                <w:i/>
                <w:iCs/>
                <w:sz w:val="19"/>
                <w:szCs w:val="19"/>
                <w:lang w:val="en-IN" w:eastAsia="en-IN"/>
              </w:rPr>
            </w:pPr>
            <w:r w:rsidRPr="00F73EEB">
              <w:rPr>
                <w:i/>
                <w:iCs/>
                <w:sz w:val="19"/>
                <w:szCs w:val="19"/>
                <w:lang w:val="en-IN" w:eastAsia="en-IN"/>
              </w:rPr>
              <w:t> </w:t>
            </w:r>
          </w:p>
        </w:tc>
        <w:tc>
          <w:tcPr>
            <w:tcW w:w="254"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310"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308"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60"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5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w:t>
            </w:r>
          </w:p>
        </w:tc>
        <w:tc>
          <w:tcPr>
            <w:tcW w:w="280"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7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r>
      <w:tr w:rsidR="00C83EE1" w:rsidRPr="00F73EEB" w:rsidTr="00C83EE1">
        <w:trPr>
          <w:trHeight w:val="18"/>
          <w:jc w:val="center"/>
        </w:trPr>
        <w:tc>
          <w:tcPr>
            <w:tcW w:w="149" w:type="pct"/>
            <w:shd w:val="clear" w:color="auto" w:fill="auto"/>
            <w:hideMark/>
          </w:tcPr>
          <w:p w:rsidR="00F73EEB" w:rsidRPr="00F73EEB" w:rsidRDefault="00F73EEB" w:rsidP="00F73EEB">
            <w:pPr>
              <w:spacing w:line="240" w:lineRule="auto"/>
              <w:jc w:val="center"/>
              <w:rPr>
                <w:b/>
                <w:bCs/>
                <w:sz w:val="19"/>
                <w:szCs w:val="19"/>
                <w:lang w:val="en-IN" w:eastAsia="en-IN"/>
              </w:rPr>
            </w:pPr>
            <w:r w:rsidRPr="00F73EEB">
              <w:rPr>
                <w:b/>
                <w:bCs/>
                <w:sz w:val="19"/>
                <w:szCs w:val="19"/>
                <w:lang w:val="en-IN" w:eastAsia="en-IN"/>
              </w:rPr>
              <w:t>II</w:t>
            </w:r>
          </w:p>
        </w:tc>
        <w:tc>
          <w:tcPr>
            <w:tcW w:w="461" w:type="pct"/>
            <w:shd w:val="clear" w:color="auto" w:fill="auto"/>
            <w:hideMark/>
          </w:tcPr>
          <w:p w:rsidR="00F73EEB" w:rsidRPr="00F73EEB" w:rsidRDefault="00F73EEB" w:rsidP="001B79DE">
            <w:pPr>
              <w:spacing w:line="240" w:lineRule="auto"/>
              <w:jc w:val="left"/>
              <w:rPr>
                <w:b/>
                <w:bCs/>
                <w:i/>
                <w:iCs/>
                <w:sz w:val="19"/>
                <w:szCs w:val="19"/>
                <w:lang w:val="en-IN" w:eastAsia="en-IN"/>
              </w:rPr>
            </w:pPr>
            <w:r w:rsidRPr="00F73EEB">
              <w:rPr>
                <w:b/>
                <w:bCs/>
                <w:i/>
                <w:iCs/>
                <w:sz w:val="19"/>
                <w:szCs w:val="19"/>
                <w:lang w:val="en-IN" w:eastAsia="en-IN"/>
              </w:rPr>
              <w:t>NLC</w:t>
            </w:r>
          </w:p>
        </w:tc>
        <w:tc>
          <w:tcPr>
            <w:tcW w:w="254"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952.80</w:t>
            </w:r>
          </w:p>
        </w:tc>
        <w:tc>
          <w:tcPr>
            <w:tcW w:w="28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952.80</w:t>
            </w:r>
          </w:p>
        </w:tc>
        <w:tc>
          <w:tcPr>
            <w:tcW w:w="310"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952.80</w:t>
            </w:r>
          </w:p>
        </w:tc>
        <w:tc>
          <w:tcPr>
            <w:tcW w:w="28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952.80</w:t>
            </w:r>
          </w:p>
        </w:tc>
        <w:tc>
          <w:tcPr>
            <w:tcW w:w="28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282.16</w:t>
            </w:r>
          </w:p>
        </w:tc>
        <w:tc>
          <w:tcPr>
            <w:tcW w:w="254"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293.45</w:t>
            </w:r>
          </w:p>
        </w:tc>
        <w:tc>
          <w:tcPr>
            <w:tcW w:w="28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305.18</w:t>
            </w:r>
          </w:p>
        </w:tc>
        <w:tc>
          <w:tcPr>
            <w:tcW w:w="308"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317.39</w:t>
            </w:r>
          </w:p>
        </w:tc>
        <w:tc>
          <w:tcPr>
            <w:tcW w:w="260"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87.57</w:t>
            </w:r>
          </w:p>
        </w:tc>
        <w:tc>
          <w:tcPr>
            <w:tcW w:w="25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91.07</w:t>
            </w:r>
          </w:p>
        </w:tc>
        <w:tc>
          <w:tcPr>
            <w:tcW w:w="254"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94.72</w:t>
            </w:r>
          </w:p>
        </w:tc>
        <w:tc>
          <w:tcPr>
            <w:tcW w:w="254"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98.50</w:t>
            </w:r>
          </w:p>
        </w:tc>
        <w:tc>
          <w:tcPr>
            <w:tcW w:w="28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369.73</w:t>
            </w:r>
          </w:p>
        </w:tc>
        <w:tc>
          <w:tcPr>
            <w:tcW w:w="280"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384.52</w:t>
            </w:r>
          </w:p>
        </w:tc>
        <w:tc>
          <w:tcPr>
            <w:tcW w:w="28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399.90</w:t>
            </w:r>
          </w:p>
        </w:tc>
        <w:tc>
          <w:tcPr>
            <w:tcW w:w="27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415.89</w:t>
            </w:r>
          </w:p>
        </w:tc>
      </w:tr>
      <w:tr w:rsidR="00C83EE1" w:rsidRPr="00F73EEB" w:rsidTr="00C83EE1">
        <w:trPr>
          <w:trHeight w:val="18"/>
          <w:jc w:val="center"/>
        </w:trPr>
        <w:tc>
          <w:tcPr>
            <w:tcW w:w="149" w:type="pct"/>
            <w:shd w:val="clear" w:color="auto" w:fill="auto"/>
            <w:hideMark/>
          </w:tcPr>
          <w:p w:rsidR="00F73EEB" w:rsidRPr="00F73EEB" w:rsidRDefault="00F73EEB" w:rsidP="00F73EEB">
            <w:pPr>
              <w:spacing w:line="240" w:lineRule="auto"/>
              <w:jc w:val="center"/>
              <w:rPr>
                <w:sz w:val="19"/>
                <w:szCs w:val="19"/>
                <w:lang w:val="en-IN" w:eastAsia="en-IN"/>
              </w:rPr>
            </w:pPr>
            <w:r w:rsidRPr="00F73EEB">
              <w:rPr>
                <w:sz w:val="19"/>
                <w:szCs w:val="19"/>
                <w:lang w:val="en-IN" w:eastAsia="en-IN"/>
              </w:rPr>
              <w:t> </w:t>
            </w:r>
          </w:p>
        </w:tc>
        <w:tc>
          <w:tcPr>
            <w:tcW w:w="461" w:type="pct"/>
            <w:shd w:val="clear" w:color="auto" w:fill="auto"/>
            <w:noWrap/>
            <w:vAlign w:val="bottom"/>
            <w:hideMark/>
          </w:tcPr>
          <w:p w:rsidR="00F73EEB" w:rsidRPr="00F73EEB" w:rsidRDefault="00F73EEB" w:rsidP="00F73EEB">
            <w:pPr>
              <w:spacing w:line="240" w:lineRule="auto"/>
              <w:jc w:val="left"/>
              <w:rPr>
                <w:sz w:val="19"/>
                <w:szCs w:val="19"/>
                <w:lang w:val="en-IN" w:eastAsia="en-IN"/>
              </w:rPr>
            </w:pPr>
            <w:r w:rsidRPr="00F73EEB">
              <w:rPr>
                <w:sz w:val="19"/>
                <w:szCs w:val="19"/>
                <w:lang w:val="en-IN" w:eastAsia="en-IN"/>
              </w:rPr>
              <w:t>NLC TPS II Stage I</w:t>
            </w:r>
          </w:p>
        </w:tc>
        <w:tc>
          <w:tcPr>
            <w:tcW w:w="254"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469.56</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469.56</w:t>
            </w:r>
          </w:p>
        </w:tc>
        <w:tc>
          <w:tcPr>
            <w:tcW w:w="310"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469.56</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469.56</w:t>
            </w:r>
          </w:p>
        </w:tc>
        <w:tc>
          <w:tcPr>
            <w:tcW w:w="282" w:type="pct"/>
            <w:shd w:val="clear" w:color="auto" w:fill="auto"/>
            <w:noWrap/>
            <w:vAlign w:val="center"/>
            <w:hideMark/>
          </w:tcPr>
          <w:p w:rsidR="00F73EEB" w:rsidRPr="00F73EEB" w:rsidRDefault="00F73EEB" w:rsidP="00735CAB">
            <w:pPr>
              <w:spacing w:line="240" w:lineRule="auto"/>
              <w:jc w:val="right"/>
              <w:rPr>
                <w:color w:val="000000"/>
                <w:sz w:val="19"/>
                <w:szCs w:val="19"/>
                <w:lang w:val="en-IN" w:eastAsia="en-IN"/>
              </w:rPr>
            </w:pPr>
            <w:r w:rsidRPr="00F73EEB">
              <w:rPr>
                <w:color w:val="000000"/>
                <w:sz w:val="19"/>
                <w:szCs w:val="19"/>
                <w:lang w:val="en-IN" w:eastAsia="en-IN"/>
              </w:rPr>
              <w:t>141.25</w:t>
            </w: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146.90</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152.77</w:t>
            </w:r>
          </w:p>
        </w:tc>
        <w:tc>
          <w:tcPr>
            <w:tcW w:w="308"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158.88</w:t>
            </w:r>
          </w:p>
        </w:tc>
        <w:tc>
          <w:tcPr>
            <w:tcW w:w="260"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33.79</w:t>
            </w:r>
          </w:p>
        </w:tc>
        <w:tc>
          <w:tcPr>
            <w:tcW w:w="25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35.14</w:t>
            </w: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36.55</w:t>
            </w: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38.01</w:t>
            </w:r>
          </w:p>
        </w:tc>
        <w:tc>
          <w:tcPr>
            <w:tcW w:w="282"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175.04</w:t>
            </w:r>
          </w:p>
        </w:tc>
        <w:tc>
          <w:tcPr>
            <w:tcW w:w="280"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182.04</w:t>
            </w:r>
          </w:p>
        </w:tc>
        <w:tc>
          <w:tcPr>
            <w:tcW w:w="282"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189.32</w:t>
            </w:r>
          </w:p>
        </w:tc>
        <w:tc>
          <w:tcPr>
            <w:tcW w:w="272"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196.89</w:t>
            </w:r>
          </w:p>
        </w:tc>
      </w:tr>
      <w:tr w:rsidR="00C83EE1" w:rsidRPr="00F73EEB" w:rsidTr="00C83EE1">
        <w:trPr>
          <w:trHeight w:val="18"/>
          <w:jc w:val="center"/>
        </w:trPr>
        <w:tc>
          <w:tcPr>
            <w:tcW w:w="149" w:type="pct"/>
            <w:shd w:val="clear" w:color="auto" w:fill="auto"/>
            <w:hideMark/>
          </w:tcPr>
          <w:p w:rsidR="00F73EEB" w:rsidRPr="00F73EEB" w:rsidRDefault="00F73EEB" w:rsidP="00F73EEB">
            <w:pPr>
              <w:spacing w:line="240" w:lineRule="auto"/>
              <w:jc w:val="center"/>
              <w:rPr>
                <w:sz w:val="19"/>
                <w:szCs w:val="19"/>
                <w:lang w:val="en-IN" w:eastAsia="en-IN"/>
              </w:rPr>
            </w:pPr>
            <w:r w:rsidRPr="00F73EEB">
              <w:rPr>
                <w:sz w:val="19"/>
                <w:szCs w:val="19"/>
                <w:lang w:val="en-IN" w:eastAsia="en-IN"/>
              </w:rPr>
              <w:t> </w:t>
            </w:r>
          </w:p>
        </w:tc>
        <w:tc>
          <w:tcPr>
            <w:tcW w:w="461" w:type="pct"/>
            <w:shd w:val="clear" w:color="auto" w:fill="auto"/>
            <w:noWrap/>
            <w:vAlign w:val="bottom"/>
            <w:hideMark/>
          </w:tcPr>
          <w:p w:rsidR="00F73EEB" w:rsidRPr="00F73EEB" w:rsidRDefault="00F73EEB" w:rsidP="00F73EEB">
            <w:pPr>
              <w:spacing w:line="240" w:lineRule="auto"/>
              <w:jc w:val="left"/>
              <w:rPr>
                <w:sz w:val="19"/>
                <w:szCs w:val="19"/>
                <w:lang w:val="en-IN" w:eastAsia="en-IN"/>
              </w:rPr>
            </w:pPr>
            <w:r w:rsidRPr="00F73EEB">
              <w:rPr>
                <w:sz w:val="19"/>
                <w:szCs w:val="19"/>
                <w:lang w:val="en-IN" w:eastAsia="en-IN"/>
              </w:rPr>
              <w:t>NLC TPS II Stage II</w:t>
            </w:r>
          </w:p>
        </w:tc>
        <w:tc>
          <w:tcPr>
            <w:tcW w:w="254"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179.41</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179.41</w:t>
            </w:r>
          </w:p>
        </w:tc>
        <w:tc>
          <w:tcPr>
            <w:tcW w:w="310"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179.41</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179.41</w:t>
            </w:r>
          </w:p>
        </w:tc>
        <w:tc>
          <w:tcPr>
            <w:tcW w:w="282" w:type="pct"/>
            <w:shd w:val="clear" w:color="auto" w:fill="auto"/>
            <w:noWrap/>
            <w:vAlign w:val="center"/>
            <w:hideMark/>
          </w:tcPr>
          <w:p w:rsidR="00F73EEB" w:rsidRPr="00F73EEB" w:rsidRDefault="00F73EEB" w:rsidP="00735CAB">
            <w:pPr>
              <w:spacing w:line="240" w:lineRule="auto"/>
              <w:jc w:val="right"/>
              <w:rPr>
                <w:color w:val="000000"/>
                <w:sz w:val="19"/>
                <w:szCs w:val="19"/>
                <w:lang w:val="en-IN" w:eastAsia="en-IN"/>
              </w:rPr>
            </w:pPr>
            <w:r w:rsidRPr="00F73EEB">
              <w:rPr>
                <w:color w:val="000000"/>
                <w:sz w:val="19"/>
                <w:szCs w:val="19"/>
                <w:lang w:val="en-IN" w:eastAsia="en-IN"/>
              </w:rPr>
              <w:t>53.81</w:t>
            </w: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55.96</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58.20</w:t>
            </w:r>
          </w:p>
        </w:tc>
        <w:tc>
          <w:tcPr>
            <w:tcW w:w="308"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60.53</w:t>
            </w:r>
          </w:p>
        </w:tc>
        <w:tc>
          <w:tcPr>
            <w:tcW w:w="260"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13.43</w:t>
            </w:r>
          </w:p>
        </w:tc>
        <w:tc>
          <w:tcPr>
            <w:tcW w:w="25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13.97</w:t>
            </w: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14.53</w:t>
            </w: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15.11</w:t>
            </w:r>
          </w:p>
        </w:tc>
        <w:tc>
          <w:tcPr>
            <w:tcW w:w="282"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67.24</w:t>
            </w:r>
          </w:p>
        </w:tc>
        <w:tc>
          <w:tcPr>
            <w:tcW w:w="280"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69.93</w:t>
            </w:r>
          </w:p>
        </w:tc>
        <w:tc>
          <w:tcPr>
            <w:tcW w:w="282"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72.73</w:t>
            </w:r>
          </w:p>
        </w:tc>
        <w:tc>
          <w:tcPr>
            <w:tcW w:w="272"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75.63</w:t>
            </w:r>
          </w:p>
        </w:tc>
      </w:tr>
      <w:tr w:rsidR="00C83EE1" w:rsidRPr="00F73EEB" w:rsidTr="00C83EE1">
        <w:trPr>
          <w:trHeight w:val="18"/>
          <w:jc w:val="center"/>
        </w:trPr>
        <w:tc>
          <w:tcPr>
            <w:tcW w:w="149" w:type="pct"/>
            <w:shd w:val="clear" w:color="auto" w:fill="auto"/>
            <w:hideMark/>
          </w:tcPr>
          <w:p w:rsidR="00F73EEB" w:rsidRPr="00F73EEB" w:rsidRDefault="00F73EEB" w:rsidP="00F73EEB">
            <w:pPr>
              <w:spacing w:line="240" w:lineRule="auto"/>
              <w:jc w:val="center"/>
              <w:rPr>
                <w:sz w:val="19"/>
                <w:szCs w:val="19"/>
                <w:lang w:val="en-IN" w:eastAsia="en-IN"/>
              </w:rPr>
            </w:pPr>
            <w:r w:rsidRPr="00F73EEB">
              <w:rPr>
                <w:sz w:val="19"/>
                <w:szCs w:val="19"/>
                <w:lang w:val="en-IN" w:eastAsia="en-IN"/>
              </w:rPr>
              <w:t> </w:t>
            </w:r>
          </w:p>
        </w:tc>
        <w:tc>
          <w:tcPr>
            <w:tcW w:w="461" w:type="pct"/>
            <w:shd w:val="clear" w:color="auto" w:fill="auto"/>
            <w:noWrap/>
            <w:vAlign w:val="bottom"/>
            <w:hideMark/>
          </w:tcPr>
          <w:p w:rsidR="00F73EEB" w:rsidRPr="00F73EEB" w:rsidRDefault="00F73EEB" w:rsidP="00F73EEB">
            <w:pPr>
              <w:spacing w:line="240" w:lineRule="auto"/>
              <w:jc w:val="left"/>
              <w:rPr>
                <w:sz w:val="19"/>
                <w:szCs w:val="19"/>
                <w:lang w:val="en-IN" w:eastAsia="en-IN"/>
              </w:rPr>
            </w:pPr>
            <w:r w:rsidRPr="00F73EEB">
              <w:rPr>
                <w:sz w:val="19"/>
                <w:szCs w:val="19"/>
                <w:lang w:val="en-IN" w:eastAsia="en-IN"/>
              </w:rPr>
              <w:t>NLC TPS I (Expn)</w:t>
            </w:r>
          </w:p>
        </w:tc>
        <w:tc>
          <w:tcPr>
            <w:tcW w:w="254"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88.39</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88.39</w:t>
            </w:r>
          </w:p>
        </w:tc>
        <w:tc>
          <w:tcPr>
            <w:tcW w:w="310"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88.39</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88.39</w:t>
            </w:r>
          </w:p>
        </w:tc>
        <w:tc>
          <w:tcPr>
            <w:tcW w:w="282" w:type="pct"/>
            <w:shd w:val="clear" w:color="auto" w:fill="auto"/>
            <w:noWrap/>
            <w:vAlign w:val="center"/>
            <w:hideMark/>
          </w:tcPr>
          <w:p w:rsidR="00F73EEB" w:rsidRPr="00F73EEB" w:rsidRDefault="00F73EEB" w:rsidP="00735CAB">
            <w:pPr>
              <w:spacing w:line="240" w:lineRule="auto"/>
              <w:jc w:val="right"/>
              <w:rPr>
                <w:color w:val="000000"/>
                <w:sz w:val="19"/>
                <w:szCs w:val="19"/>
                <w:lang w:val="en-IN" w:eastAsia="en-IN"/>
              </w:rPr>
            </w:pPr>
            <w:r w:rsidRPr="00F73EEB">
              <w:rPr>
                <w:color w:val="000000"/>
                <w:sz w:val="19"/>
                <w:szCs w:val="19"/>
                <w:lang w:val="en-IN" w:eastAsia="en-IN"/>
              </w:rPr>
              <w:t>24.54</w:t>
            </w: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25.52</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26.54</w:t>
            </w:r>
          </w:p>
        </w:tc>
        <w:tc>
          <w:tcPr>
            <w:tcW w:w="308"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27.60</w:t>
            </w:r>
          </w:p>
        </w:tc>
        <w:tc>
          <w:tcPr>
            <w:tcW w:w="260"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10.91</w:t>
            </w:r>
          </w:p>
        </w:tc>
        <w:tc>
          <w:tcPr>
            <w:tcW w:w="25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11.35</w:t>
            </w: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11.80</w:t>
            </w: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12.27</w:t>
            </w:r>
          </w:p>
        </w:tc>
        <w:tc>
          <w:tcPr>
            <w:tcW w:w="282"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35.45</w:t>
            </w:r>
          </w:p>
        </w:tc>
        <w:tc>
          <w:tcPr>
            <w:tcW w:w="280"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36.86</w:t>
            </w:r>
          </w:p>
        </w:tc>
        <w:tc>
          <w:tcPr>
            <w:tcW w:w="282"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38.34</w:t>
            </w:r>
          </w:p>
        </w:tc>
        <w:tc>
          <w:tcPr>
            <w:tcW w:w="272"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39.87</w:t>
            </w:r>
          </w:p>
        </w:tc>
      </w:tr>
      <w:tr w:rsidR="00C83EE1" w:rsidRPr="00F73EEB" w:rsidTr="00C83EE1">
        <w:trPr>
          <w:trHeight w:val="18"/>
          <w:jc w:val="center"/>
        </w:trPr>
        <w:tc>
          <w:tcPr>
            <w:tcW w:w="149" w:type="pct"/>
            <w:shd w:val="clear" w:color="auto" w:fill="auto"/>
            <w:hideMark/>
          </w:tcPr>
          <w:p w:rsidR="00F73EEB" w:rsidRPr="00F73EEB" w:rsidRDefault="00F73EEB" w:rsidP="00F73EEB">
            <w:pPr>
              <w:spacing w:line="240" w:lineRule="auto"/>
              <w:jc w:val="center"/>
              <w:rPr>
                <w:sz w:val="19"/>
                <w:szCs w:val="19"/>
                <w:lang w:val="en-IN" w:eastAsia="en-IN"/>
              </w:rPr>
            </w:pPr>
            <w:r w:rsidRPr="00F73EEB">
              <w:rPr>
                <w:sz w:val="19"/>
                <w:szCs w:val="19"/>
                <w:lang w:val="en-IN" w:eastAsia="en-IN"/>
              </w:rPr>
              <w:t> </w:t>
            </w:r>
          </w:p>
        </w:tc>
        <w:tc>
          <w:tcPr>
            <w:tcW w:w="461" w:type="pct"/>
            <w:shd w:val="clear" w:color="auto" w:fill="auto"/>
            <w:noWrap/>
            <w:vAlign w:val="bottom"/>
            <w:hideMark/>
          </w:tcPr>
          <w:p w:rsidR="00F73EEB" w:rsidRPr="00F73EEB" w:rsidRDefault="00F73EEB" w:rsidP="00F73EEB">
            <w:pPr>
              <w:spacing w:line="240" w:lineRule="auto"/>
              <w:jc w:val="left"/>
              <w:rPr>
                <w:sz w:val="19"/>
                <w:szCs w:val="19"/>
                <w:lang w:val="en-IN" w:eastAsia="en-IN"/>
              </w:rPr>
            </w:pPr>
            <w:r w:rsidRPr="00F73EEB">
              <w:rPr>
                <w:sz w:val="19"/>
                <w:szCs w:val="19"/>
                <w:lang w:val="en-IN" w:eastAsia="en-IN"/>
              </w:rPr>
              <w:t>NLC TPS II (Expn)</w:t>
            </w:r>
          </w:p>
        </w:tc>
        <w:tc>
          <w:tcPr>
            <w:tcW w:w="254"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44.85</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44.85</w:t>
            </w:r>
          </w:p>
        </w:tc>
        <w:tc>
          <w:tcPr>
            <w:tcW w:w="310"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44.85</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44.85</w:t>
            </w:r>
          </w:p>
        </w:tc>
        <w:tc>
          <w:tcPr>
            <w:tcW w:w="282" w:type="pct"/>
            <w:shd w:val="clear" w:color="auto" w:fill="auto"/>
            <w:noWrap/>
            <w:vAlign w:val="center"/>
            <w:hideMark/>
          </w:tcPr>
          <w:p w:rsidR="00F73EEB" w:rsidRPr="00F73EEB" w:rsidRDefault="00F73EEB" w:rsidP="00735CAB">
            <w:pPr>
              <w:spacing w:line="240" w:lineRule="auto"/>
              <w:jc w:val="right"/>
              <w:rPr>
                <w:color w:val="000000"/>
                <w:sz w:val="19"/>
                <w:szCs w:val="19"/>
                <w:lang w:val="en-IN" w:eastAsia="en-IN"/>
              </w:rPr>
            </w:pPr>
            <w:r w:rsidRPr="00F73EEB">
              <w:rPr>
                <w:color w:val="000000"/>
                <w:sz w:val="19"/>
                <w:szCs w:val="19"/>
                <w:lang w:val="en-IN" w:eastAsia="en-IN"/>
              </w:rPr>
              <w:t>12.48</w:t>
            </w: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12.98</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13.50</w:t>
            </w:r>
          </w:p>
        </w:tc>
        <w:tc>
          <w:tcPr>
            <w:tcW w:w="308"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14.04</w:t>
            </w:r>
          </w:p>
        </w:tc>
        <w:tc>
          <w:tcPr>
            <w:tcW w:w="260"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4.26</w:t>
            </w:r>
          </w:p>
        </w:tc>
        <w:tc>
          <w:tcPr>
            <w:tcW w:w="25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4.43</w:t>
            </w: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4.61</w:t>
            </w: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4.79</w:t>
            </w:r>
          </w:p>
        </w:tc>
        <w:tc>
          <w:tcPr>
            <w:tcW w:w="282"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16.74</w:t>
            </w:r>
          </w:p>
        </w:tc>
        <w:tc>
          <w:tcPr>
            <w:tcW w:w="280"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17.41</w:t>
            </w:r>
          </w:p>
        </w:tc>
        <w:tc>
          <w:tcPr>
            <w:tcW w:w="282"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18.11</w:t>
            </w:r>
          </w:p>
        </w:tc>
        <w:tc>
          <w:tcPr>
            <w:tcW w:w="272"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18.83</w:t>
            </w:r>
          </w:p>
        </w:tc>
      </w:tr>
      <w:tr w:rsidR="00C83EE1" w:rsidRPr="00F73EEB" w:rsidTr="00C83EE1">
        <w:trPr>
          <w:trHeight w:val="18"/>
          <w:jc w:val="center"/>
        </w:trPr>
        <w:tc>
          <w:tcPr>
            <w:tcW w:w="149" w:type="pct"/>
            <w:shd w:val="clear" w:color="auto" w:fill="auto"/>
            <w:hideMark/>
          </w:tcPr>
          <w:p w:rsidR="00F73EEB" w:rsidRPr="00F73EEB" w:rsidRDefault="00F73EEB" w:rsidP="00F73EEB">
            <w:pPr>
              <w:spacing w:line="240" w:lineRule="auto"/>
              <w:jc w:val="center"/>
              <w:rPr>
                <w:sz w:val="19"/>
                <w:szCs w:val="19"/>
                <w:lang w:val="en-IN" w:eastAsia="en-IN"/>
              </w:rPr>
            </w:pPr>
            <w:r w:rsidRPr="00F73EEB">
              <w:rPr>
                <w:sz w:val="19"/>
                <w:szCs w:val="19"/>
                <w:lang w:val="en-IN" w:eastAsia="en-IN"/>
              </w:rPr>
              <w:t> </w:t>
            </w:r>
          </w:p>
        </w:tc>
        <w:tc>
          <w:tcPr>
            <w:tcW w:w="461" w:type="pct"/>
            <w:shd w:val="clear" w:color="auto" w:fill="auto"/>
            <w:noWrap/>
            <w:vAlign w:val="bottom"/>
            <w:hideMark/>
          </w:tcPr>
          <w:p w:rsidR="00F73EEB" w:rsidRPr="00F73EEB" w:rsidRDefault="00F73EEB" w:rsidP="00F73EEB">
            <w:pPr>
              <w:spacing w:line="240" w:lineRule="auto"/>
              <w:jc w:val="left"/>
              <w:rPr>
                <w:sz w:val="19"/>
                <w:szCs w:val="19"/>
                <w:lang w:val="en-IN" w:eastAsia="en-IN"/>
              </w:rPr>
            </w:pPr>
            <w:r w:rsidRPr="00F73EEB">
              <w:rPr>
                <w:sz w:val="19"/>
                <w:szCs w:val="19"/>
                <w:lang w:val="en-IN" w:eastAsia="en-IN"/>
              </w:rPr>
              <w:t>NTPL</w:t>
            </w:r>
          </w:p>
        </w:tc>
        <w:tc>
          <w:tcPr>
            <w:tcW w:w="254"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170.60</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170.60</w:t>
            </w:r>
          </w:p>
        </w:tc>
        <w:tc>
          <w:tcPr>
            <w:tcW w:w="310"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170.60</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170.60</w:t>
            </w:r>
          </w:p>
        </w:tc>
        <w:tc>
          <w:tcPr>
            <w:tcW w:w="282" w:type="pct"/>
            <w:shd w:val="clear" w:color="auto" w:fill="auto"/>
            <w:noWrap/>
            <w:vAlign w:val="center"/>
            <w:hideMark/>
          </w:tcPr>
          <w:p w:rsidR="00F73EEB" w:rsidRPr="00F73EEB" w:rsidRDefault="00F73EEB" w:rsidP="00735CAB">
            <w:pPr>
              <w:spacing w:line="240" w:lineRule="auto"/>
              <w:jc w:val="right"/>
              <w:rPr>
                <w:color w:val="000000"/>
                <w:sz w:val="19"/>
                <w:szCs w:val="19"/>
                <w:lang w:val="en-IN" w:eastAsia="en-IN"/>
              </w:rPr>
            </w:pPr>
            <w:r w:rsidRPr="00F73EEB">
              <w:rPr>
                <w:color w:val="000000"/>
                <w:sz w:val="19"/>
                <w:szCs w:val="19"/>
                <w:lang w:val="en-IN" w:eastAsia="en-IN"/>
              </w:rPr>
              <w:t>50.08</w:t>
            </w: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52.09</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54.17</w:t>
            </w:r>
          </w:p>
        </w:tc>
        <w:tc>
          <w:tcPr>
            <w:tcW w:w="308"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56.34</w:t>
            </w:r>
          </w:p>
        </w:tc>
        <w:tc>
          <w:tcPr>
            <w:tcW w:w="260"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25.18</w:t>
            </w:r>
          </w:p>
        </w:tc>
        <w:tc>
          <w:tcPr>
            <w:tcW w:w="25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26.19</w:t>
            </w: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27.23</w:t>
            </w: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28.32</w:t>
            </w:r>
          </w:p>
        </w:tc>
        <w:tc>
          <w:tcPr>
            <w:tcW w:w="282"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75.26</w:t>
            </w:r>
          </w:p>
        </w:tc>
        <w:tc>
          <w:tcPr>
            <w:tcW w:w="280"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78.27</w:t>
            </w:r>
          </w:p>
        </w:tc>
        <w:tc>
          <w:tcPr>
            <w:tcW w:w="282"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81.41</w:t>
            </w:r>
          </w:p>
        </w:tc>
        <w:tc>
          <w:tcPr>
            <w:tcW w:w="272"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84.66</w:t>
            </w:r>
          </w:p>
        </w:tc>
      </w:tr>
      <w:tr w:rsidR="00C83EE1" w:rsidRPr="00F73EEB" w:rsidTr="00C83EE1">
        <w:trPr>
          <w:trHeight w:val="18"/>
          <w:jc w:val="center"/>
        </w:trPr>
        <w:tc>
          <w:tcPr>
            <w:tcW w:w="149" w:type="pct"/>
            <w:shd w:val="clear" w:color="auto" w:fill="auto"/>
            <w:hideMark/>
          </w:tcPr>
          <w:p w:rsidR="00F73EEB" w:rsidRPr="00F73EEB" w:rsidRDefault="00F73EEB" w:rsidP="00F73EEB">
            <w:pPr>
              <w:spacing w:line="240" w:lineRule="auto"/>
              <w:jc w:val="center"/>
              <w:rPr>
                <w:sz w:val="19"/>
                <w:szCs w:val="19"/>
                <w:lang w:val="en-IN" w:eastAsia="en-IN"/>
              </w:rPr>
            </w:pPr>
            <w:r w:rsidRPr="00F73EEB">
              <w:rPr>
                <w:sz w:val="19"/>
                <w:szCs w:val="19"/>
                <w:lang w:val="en-IN" w:eastAsia="en-IN"/>
              </w:rPr>
              <w:t> </w:t>
            </w:r>
          </w:p>
        </w:tc>
        <w:tc>
          <w:tcPr>
            <w:tcW w:w="461" w:type="pct"/>
            <w:shd w:val="clear" w:color="auto" w:fill="auto"/>
            <w:hideMark/>
          </w:tcPr>
          <w:p w:rsidR="00F73EEB" w:rsidRPr="00F73EEB" w:rsidRDefault="00F73EEB" w:rsidP="00F73EEB">
            <w:pPr>
              <w:spacing w:line="240" w:lineRule="auto"/>
              <w:ind w:firstLineChars="100" w:firstLine="190"/>
              <w:jc w:val="left"/>
              <w:rPr>
                <w:i/>
                <w:iCs/>
                <w:sz w:val="19"/>
                <w:szCs w:val="19"/>
                <w:lang w:val="en-IN" w:eastAsia="en-IN"/>
              </w:rPr>
            </w:pPr>
            <w:r w:rsidRPr="00F73EEB">
              <w:rPr>
                <w:i/>
                <w:iCs/>
                <w:sz w:val="19"/>
                <w:szCs w:val="19"/>
                <w:lang w:val="en-IN" w:eastAsia="en-IN"/>
              </w:rPr>
              <w:t> </w:t>
            </w:r>
          </w:p>
        </w:tc>
        <w:tc>
          <w:tcPr>
            <w:tcW w:w="254"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310"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308"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60"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5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w:t>
            </w:r>
          </w:p>
        </w:tc>
        <w:tc>
          <w:tcPr>
            <w:tcW w:w="280"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7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r>
      <w:tr w:rsidR="00C83EE1" w:rsidRPr="00F73EEB" w:rsidTr="00C83EE1">
        <w:trPr>
          <w:trHeight w:val="18"/>
          <w:jc w:val="center"/>
        </w:trPr>
        <w:tc>
          <w:tcPr>
            <w:tcW w:w="149" w:type="pct"/>
            <w:shd w:val="clear" w:color="auto" w:fill="auto"/>
            <w:hideMark/>
          </w:tcPr>
          <w:p w:rsidR="00F73EEB" w:rsidRPr="00F73EEB" w:rsidRDefault="00F73EEB" w:rsidP="00F73EEB">
            <w:pPr>
              <w:spacing w:line="240" w:lineRule="auto"/>
              <w:jc w:val="center"/>
              <w:rPr>
                <w:b/>
                <w:bCs/>
                <w:sz w:val="19"/>
                <w:szCs w:val="19"/>
                <w:lang w:val="en-IN" w:eastAsia="en-IN"/>
              </w:rPr>
            </w:pPr>
            <w:r w:rsidRPr="00F73EEB">
              <w:rPr>
                <w:b/>
                <w:bCs/>
                <w:sz w:val="19"/>
                <w:szCs w:val="19"/>
                <w:lang w:val="en-IN" w:eastAsia="en-IN"/>
              </w:rPr>
              <w:t>III</w:t>
            </w:r>
          </w:p>
        </w:tc>
        <w:tc>
          <w:tcPr>
            <w:tcW w:w="461" w:type="pct"/>
            <w:shd w:val="clear" w:color="auto" w:fill="auto"/>
            <w:hideMark/>
          </w:tcPr>
          <w:p w:rsidR="00F73EEB" w:rsidRPr="00F73EEB" w:rsidRDefault="00F73EEB" w:rsidP="00F73EEB">
            <w:pPr>
              <w:spacing w:line="240" w:lineRule="auto"/>
              <w:jc w:val="left"/>
              <w:rPr>
                <w:b/>
                <w:bCs/>
                <w:i/>
                <w:iCs/>
                <w:sz w:val="19"/>
                <w:szCs w:val="19"/>
                <w:lang w:val="en-IN" w:eastAsia="en-IN"/>
              </w:rPr>
            </w:pPr>
            <w:r w:rsidRPr="00F73EEB">
              <w:rPr>
                <w:b/>
                <w:bCs/>
                <w:i/>
                <w:iCs/>
                <w:sz w:val="19"/>
                <w:szCs w:val="19"/>
                <w:lang w:val="en-IN" w:eastAsia="en-IN"/>
              </w:rPr>
              <w:t>NPCIL</w:t>
            </w:r>
          </w:p>
        </w:tc>
        <w:tc>
          <w:tcPr>
            <w:tcW w:w="254"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595.67</w:t>
            </w:r>
          </w:p>
        </w:tc>
        <w:tc>
          <w:tcPr>
            <w:tcW w:w="28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595.67</w:t>
            </w:r>
          </w:p>
        </w:tc>
        <w:tc>
          <w:tcPr>
            <w:tcW w:w="310"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595.67</w:t>
            </w:r>
          </w:p>
        </w:tc>
        <w:tc>
          <w:tcPr>
            <w:tcW w:w="28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595.67</w:t>
            </w:r>
          </w:p>
        </w:tc>
        <w:tc>
          <w:tcPr>
            <w:tcW w:w="28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189.49</w:t>
            </w:r>
          </w:p>
        </w:tc>
        <w:tc>
          <w:tcPr>
            <w:tcW w:w="254"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197.07</w:t>
            </w:r>
          </w:p>
        </w:tc>
        <w:tc>
          <w:tcPr>
            <w:tcW w:w="28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204.96</w:t>
            </w:r>
          </w:p>
        </w:tc>
        <w:tc>
          <w:tcPr>
            <w:tcW w:w="308"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213.15</w:t>
            </w:r>
          </w:p>
        </w:tc>
        <w:tc>
          <w:tcPr>
            <w:tcW w:w="260"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p>
        </w:tc>
        <w:tc>
          <w:tcPr>
            <w:tcW w:w="25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189.49</w:t>
            </w:r>
          </w:p>
        </w:tc>
        <w:tc>
          <w:tcPr>
            <w:tcW w:w="280"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197.07</w:t>
            </w:r>
          </w:p>
        </w:tc>
        <w:tc>
          <w:tcPr>
            <w:tcW w:w="28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204.96</w:t>
            </w:r>
          </w:p>
        </w:tc>
        <w:tc>
          <w:tcPr>
            <w:tcW w:w="27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213.15</w:t>
            </w:r>
          </w:p>
        </w:tc>
      </w:tr>
      <w:tr w:rsidR="00C83EE1" w:rsidRPr="00F73EEB" w:rsidTr="00C83EE1">
        <w:trPr>
          <w:trHeight w:val="18"/>
          <w:jc w:val="center"/>
        </w:trPr>
        <w:tc>
          <w:tcPr>
            <w:tcW w:w="149" w:type="pct"/>
            <w:shd w:val="clear" w:color="auto" w:fill="auto"/>
            <w:hideMark/>
          </w:tcPr>
          <w:p w:rsidR="00F73EEB" w:rsidRPr="00F73EEB" w:rsidRDefault="00F73EEB" w:rsidP="00F73EEB">
            <w:pPr>
              <w:spacing w:line="240" w:lineRule="auto"/>
              <w:jc w:val="center"/>
              <w:rPr>
                <w:sz w:val="19"/>
                <w:szCs w:val="19"/>
                <w:lang w:val="en-IN" w:eastAsia="en-IN"/>
              </w:rPr>
            </w:pPr>
            <w:r w:rsidRPr="00F73EEB">
              <w:rPr>
                <w:sz w:val="19"/>
                <w:szCs w:val="19"/>
                <w:lang w:val="en-IN" w:eastAsia="en-IN"/>
              </w:rPr>
              <w:t> </w:t>
            </w:r>
          </w:p>
        </w:tc>
        <w:tc>
          <w:tcPr>
            <w:tcW w:w="461" w:type="pct"/>
            <w:shd w:val="clear" w:color="auto" w:fill="auto"/>
            <w:noWrap/>
            <w:vAlign w:val="bottom"/>
            <w:hideMark/>
          </w:tcPr>
          <w:p w:rsidR="00F73EEB" w:rsidRPr="00F73EEB" w:rsidRDefault="00F73EEB" w:rsidP="00F73EEB">
            <w:pPr>
              <w:spacing w:line="240" w:lineRule="auto"/>
              <w:jc w:val="left"/>
              <w:rPr>
                <w:sz w:val="19"/>
                <w:szCs w:val="19"/>
                <w:lang w:val="en-IN" w:eastAsia="en-IN"/>
              </w:rPr>
            </w:pPr>
            <w:r w:rsidRPr="00F73EEB">
              <w:rPr>
                <w:sz w:val="19"/>
                <w:szCs w:val="19"/>
                <w:lang w:val="en-IN" w:eastAsia="en-IN"/>
              </w:rPr>
              <w:t>MAPS</w:t>
            </w:r>
          </w:p>
        </w:tc>
        <w:tc>
          <w:tcPr>
            <w:tcW w:w="254"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46.77</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46.77</w:t>
            </w:r>
          </w:p>
        </w:tc>
        <w:tc>
          <w:tcPr>
            <w:tcW w:w="310"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46.77</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46.77</w:t>
            </w:r>
          </w:p>
        </w:tc>
        <w:tc>
          <w:tcPr>
            <w:tcW w:w="282" w:type="pct"/>
            <w:shd w:val="clear" w:color="auto" w:fill="auto"/>
            <w:noWrap/>
            <w:vAlign w:val="center"/>
            <w:hideMark/>
          </w:tcPr>
          <w:p w:rsidR="00F73EEB" w:rsidRPr="00F73EEB" w:rsidRDefault="00F73EEB" w:rsidP="00735CAB">
            <w:pPr>
              <w:spacing w:line="240" w:lineRule="auto"/>
              <w:jc w:val="right"/>
              <w:rPr>
                <w:color w:val="000000"/>
                <w:sz w:val="19"/>
                <w:szCs w:val="19"/>
                <w:lang w:val="en-IN" w:eastAsia="en-IN"/>
              </w:rPr>
            </w:pPr>
            <w:r w:rsidRPr="00F73EEB">
              <w:rPr>
                <w:color w:val="000000"/>
                <w:sz w:val="19"/>
                <w:szCs w:val="19"/>
                <w:lang w:val="en-IN" w:eastAsia="en-IN"/>
              </w:rPr>
              <w:t>9.70</w:t>
            </w: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10.08</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10.49</w:t>
            </w:r>
          </w:p>
        </w:tc>
        <w:tc>
          <w:tcPr>
            <w:tcW w:w="308"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10.91</w:t>
            </w:r>
          </w:p>
        </w:tc>
        <w:tc>
          <w:tcPr>
            <w:tcW w:w="260"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5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9.70</w:t>
            </w:r>
          </w:p>
        </w:tc>
        <w:tc>
          <w:tcPr>
            <w:tcW w:w="280"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10.08</w:t>
            </w:r>
          </w:p>
        </w:tc>
        <w:tc>
          <w:tcPr>
            <w:tcW w:w="282"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10.49</w:t>
            </w:r>
          </w:p>
        </w:tc>
        <w:tc>
          <w:tcPr>
            <w:tcW w:w="272"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10.91</w:t>
            </w:r>
          </w:p>
        </w:tc>
      </w:tr>
      <w:tr w:rsidR="00C83EE1" w:rsidRPr="00F73EEB" w:rsidTr="00C83EE1">
        <w:trPr>
          <w:trHeight w:val="18"/>
          <w:jc w:val="center"/>
        </w:trPr>
        <w:tc>
          <w:tcPr>
            <w:tcW w:w="149" w:type="pct"/>
            <w:shd w:val="clear" w:color="auto" w:fill="auto"/>
            <w:hideMark/>
          </w:tcPr>
          <w:p w:rsidR="0037470F" w:rsidRPr="00F73EEB" w:rsidRDefault="0037470F" w:rsidP="00F73EEB">
            <w:pPr>
              <w:spacing w:line="240" w:lineRule="auto"/>
              <w:jc w:val="center"/>
              <w:rPr>
                <w:sz w:val="19"/>
                <w:szCs w:val="19"/>
                <w:lang w:val="en-IN" w:eastAsia="en-IN"/>
              </w:rPr>
            </w:pPr>
            <w:r w:rsidRPr="00F73EEB">
              <w:rPr>
                <w:sz w:val="19"/>
                <w:szCs w:val="19"/>
                <w:lang w:val="en-IN" w:eastAsia="en-IN"/>
              </w:rPr>
              <w:t> </w:t>
            </w:r>
          </w:p>
        </w:tc>
        <w:tc>
          <w:tcPr>
            <w:tcW w:w="461" w:type="pct"/>
            <w:shd w:val="clear" w:color="auto" w:fill="auto"/>
            <w:noWrap/>
            <w:vAlign w:val="bottom"/>
            <w:hideMark/>
          </w:tcPr>
          <w:p w:rsidR="0037470F" w:rsidRPr="00F73EEB" w:rsidRDefault="0037470F" w:rsidP="00F73EEB">
            <w:pPr>
              <w:spacing w:line="240" w:lineRule="auto"/>
              <w:jc w:val="left"/>
              <w:rPr>
                <w:sz w:val="19"/>
                <w:szCs w:val="19"/>
                <w:lang w:val="en-IN" w:eastAsia="en-IN"/>
              </w:rPr>
            </w:pPr>
            <w:r w:rsidRPr="00F73EEB">
              <w:rPr>
                <w:sz w:val="19"/>
                <w:szCs w:val="19"/>
                <w:lang w:val="en-IN" w:eastAsia="en-IN"/>
              </w:rPr>
              <w:t>KAPS Stage I</w:t>
            </w:r>
          </w:p>
        </w:tc>
        <w:tc>
          <w:tcPr>
            <w:tcW w:w="254" w:type="pct"/>
            <w:shd w:val="clear" w:color="auto" w:fill="auto"/>
            <w:vAlign w:val="center"/>
            <w:hideMark/>
          </w:tcPr>
          <w:p w:rsidR="0037470F" w:rsidRPr="00F73EEB" w:rsidRDefault="0037470F" w:rsidP="00735CAB">
            <w:pPr>
              <w:spacing w:line="240" w:lineRule="auto"/>
              <w:jc w:val="right"/>
              <w:rPr>
                <w:bCs/>
                <w:sz w:val="19"/>
                <w:szCs w:val="19"/>
                <w:lang w:val="en-IN" w:eastAsia="en-IN"/>
              </w:rPr>
            </w:pPr>
            <w:r w:rsidRPr="00F73EEB">
              <w:rPr>
                <w:bCs/>
                <w:sz w:val="19"/>
                <w:szCs w:val="19"/>
                <w:lang w:val="en-IN" w:eastAsia="en-IN"/>
              </w:rPr>
              <w:t>137.70</w:t>
            </w:r>
          </w:p>
        </w:tc>
        <w:tc>
          <w:tcPr>
            <w:tcW w:w="282" w:type="pct"/>
            <w:shd w:val="clear" w:color="auto" w:fill="auto"/>
            <w:vAlign w:val="center"/>
            <w:hideMark/>
          </w:tcPr>
          <w:p w:rsidR="0037470F" w:rsidRPr="00F73EEB" w:rsidRDefault="0037470F" w:rsidP="00735CAB">
            <w:pPr>
              <w:spacing w:line="240" w:lineRule="auto"/>
              <w:jc w:val="right"/>
              <w:rPr>
                <w:sz w:val="19"/>
                <w:szCs w:val="19"/>
                <w:lang w:val="en-IN" w:eastAsia="en-IN"/>
              </w:rPr>
            </w:pPr>
            <w:r w:rsidRPr="00F73EEB">
              <w:rPr>
                <w:sz w:val="19"/>
                <w:szCs w:val="19"/>
                <w:lang w:val="en-IN" w:eastAsia="en-IN"/>
              </w:rPr>
              <w:t>137.70</w:t>
            </w:r>
          </w:p>
        </w:tc>
        <w:tc>
          <w:tcPr>
            <w:tcW w:w="310" w:type="pct"/>
            <w:shd w:val="clear" w:color="auto" w:fill="auto"/>
            <w:vAlign w:val="center"/>
            <w:hideMark/>
          </w:tcPr>
          <w:p w:rsidR="0037470F" w:rsidRPr="00F73EEB" w:rsidRDefault="0037470F" w:rsidP="00735CAB">
            <w:pPr>
              <w:spacing w:line="240" w:lineRule="auto"/>
              <w:jc w:val="right"/>
              <w:rPr>
                <w:sz w:val="19"/>
                <w:szCs w:val="19"/>
                <w:lang w:val="en-IN" w:eastAsia="en-IN"/>
              </w:rPr>
            </w:pPr>
            <w:r w:rsidRPr="00F73EEB">
              <w:rPr>
                <w:sz w:val="19"/>
                <w:szCs w:val="19"/>
                <w:lang w:val="en-IN" w:eastAsia="en-IN"/>
              </w:rPr>
              <w:t>137.70</w:t>
            </w:r>
          </w:p>
        </w:tc>
        <w:tc>
          <w:tcPr>
            <w:tcW w:w="282" w:type="pct"/>
            <w:shd w:val="clear" w:color="auto" w:fill="auto"/>
            <w:vAlign w:val="center"/>
            <w:hideMark/>
          </w:tcPr>
          <w:p w:rsidR="0037470F" w:rsidRPr="00F73EEB" w:rsidRDefault="0037470F" w:rsidP="00735CAB">
            <w:pPr>
              <w:spacing w:line="240" w:lineRule="auto"/>
              <w:jc w:val="right"/>
              <w:rPr>
                <w:sz w:val="19"/>
                <w:szCs w:val="19"/>
                <w:lang w:val="en-IN" w:eastAsia="en-IN"/>
              </w:rPr>
            </w:pPr>
            <w:r w:rsidRPr="00F73EEB">
              <w:rPr>
                <w:sz w:val="19"/>
                <w:szCs w:val="19"/>
                <w:lang w:val="en-IN" w:eastAsia="en-IN"/>
              </w:rPr>
              <w:t>137.70</w:t>
            </w:r>
          </w:p>
        </w:tc>
        <w:tc>
          <w:tcPr>
            <w:tcW w:w="282" w:type="pct"/>
            <w:vMerge w:val="restart"/>
            <w:shd w:val="clear" w:color="auto" w:fill="auto"/>
            <w:noWrap/>
            <w:vAlign w:val="center"/>
            <w:hideMark/>
          </w:tcPr>
          <w:p w:rsidR="0037470F" w:rsidRPr="00F73EEB" w:rsidRDefault="0037470F" w:rsidP="00735CAB">
            <w:pPr>
              <w:spacing w:line="240" w:lineRule="auto"/>
              <w:jc w:val="right"/>
              <w:rPr>
                <w:color w:val="000000"/>
                <w:sz w:val="19"/>
                <w:szCs w:val="19"/>
                <w:lang w:val="en-IN" w:eastAsia="en-IN"/>
              </w:rPr>
            </w:pPr>
            <w:r w:rsidRPr="00F73EEB">
              <w:rPr>
                <w:color w:val="000000"/>
                <w:sz w:val="19"/>
                <w:szCs w:val="19"/>
                <w:lang w:val="en-IN" w:eastAsia="en-IN"/>
              </w:rPr>
              <w:t>78.56</w:t>
            </w:r>
          </w:p>
        </w:tc>
        <w:tc>
          <w:tcPr>
            <w:tcW w:w="254" w:type="pct"/>
            <w:vMerge w:val="restart"/>
            <w:shd w:val="clear" w:color="auto" w:fill="auto"/>
            <w:vAlign w:val="center"/>
            <w:hideMark/>
          </w:tcPr>
          <w:p w:rsidR="0037470F" w:rsidRPr="00F73EEB" w:rsidRDefault="0037470F" w:rsidP="00735CAB">
            <w:pPr>
              <w:spacing w:line="240" w:lineRule="auto"/>
              <w:jc w:val="right"/>
              <w:rPr>
                <w:sz w:val="19"/>
                <w:szCs w:val="19"/>
                <w:lang w:val="en-IN" w:eastAsia="en-IN"/>
              </w:rPr>
            </w:pPr>
            <w:r w:rsidRPr="00F73EEB">
              <w:rPr>
                <w:sz w:val="19"/>
                <w:szCs w:val="19"/>
                <w:lang w:val="en-IN" w:eastAsia="en-IN"/>
              </w:rPr>
              <w:t>81.70</w:t>
            </w:r>
          </w:p>
        </w:tc>
        <w:tc>
          <w:tcPr>
            <w:tcW w:w="282" w:type="pct"/>
            <w:vMerge w:val="restart"/>
            <w:shd w:val="clear" w:color="auto" w:fill="auto"/>
            <w:vAlign w:val="center"/>
            <w:hideMark/>
          </w:tcPr>
          <w:p w:rsidR="0037470F" w:rsidRPr="00F73EEB" w:rsidRDefault="0037470F" w:rsidP="00735CAB">
            <w:pPr>
              <w:spacing w:line="240" w:lineRule="auto"/>
              <w:jc w:val="right"/>
              <w:rPr>
                <w:sz w:val="19"/>
                <w:szCs w:val="19"/>
                <w:lang w:val="en-IN" w:eastAsia="en-IN"/>
              </w:rPr>
            </w:pPr>
            <w:r w:rsidRPr="00F73EEB">
              <w:rPr>
                <w:sz w:val="19"/>
                <w:szCs w:val="19"/>
                <w:lang w:val="en-IN" w:eastAsia="en-IN"/>
              </w:rPr>
              <w:t>84.97</w:t>
            </w:r>
          </w:p>
        </w:tc>
        <w:tc>
          <w:tcPr>
            <w:tcW w:w="308" w:type="pct"/>
            <w:vMerge w:val="restart"/>
            <w:shd w:val="clear" w:color="auto" w:fill="auto"/>
            <w:vAlign w:val="center"/>
            <w:hideMark/>
          </w:tcPr>
          <w:p w:rsidR="0037470F" w:rsidRPr="00F73EEB" w:rsidRDefault="0037470F" w:rsidP="00735CAB">
            <w:pPr>
              <w:spacing w:line="240" w:lineRule="auto"/>
              <w:jc w:val="right"/>
              <w:rPr>
                <w:sz w:val="19"/>
                <w:szCs w:val="19"/>
                <w:lang w:val="en-IN" w:eastAsia="en-IN"/>
              </w:rPr>
            </w:pPr>
            <w:r w:rsidRPr="00F73EEB">
              <w:rPr>
                <w:sz w:val="19"/>
                <w:szCs w:val="19"/>
                <w:lang w:val="en-IN" w:eastAsia="en-IN"/>
              </w:rPr>
              <w:t>88.37</w:t>
            </w:r>
          </w:p>
        </w:tc>
        <w:tc>
          <w:tcPr>
            <w:tcW w:w="260" w:type="pct"/>
            <w:shd w:val="clear" w:color="auto" w:fill="auto"/>
            <w:vAlign w:val="center"/>
            <w:hideMark/>
          </w:tcPr>
          <w:p w:rsidR="0037470F" w:rsidRPr="00F73EEB" w:rsidRDefault="0037470F" w:rsidP="00735CAB">
            <w:pPr>
              <w:spacing w:line="240" w:lineRule="auto"/>
              <w:jc w:val="right"/>
              <w:rPr>
                <w:sz w:val="19"/>
                <w:szCs w:val="19"/>
                <w:lang w:val="en-IN" w:eastAsia="en-IN"/>
              </w:rPr>
            </w:pPr>
          </w:p>
        </w:tc>
        <w:tc>
          <w:tcPr>
            <w:tcW w:w="252" w:type="pct"/>
            <w:shd w:val="clear" w:color="auto" w:fill="auto"/>
            <w:vAlign w:val="center"/>
            <w:hideMark/>
          </w:tcPr>
          <w:p w:rsidR="0037470F" w:rsidRPr="00F73EEB" w:rsidRDefault="0037470F" w:rsidP="00735CAB">
            <w:pPr>
              <w:spacing w:line="240" w:lineRule="auto"/>
              <w:jc w:val="right"/>
              <w:rPr>
                <w:sz w:val="19"/>
                <w:szCs w:val="19"/>
                <w:lang w:val="en-IN" w:eastAsia="en-IN"/>
              </w:rPr>
            </w:pPr>
          </w:p>
        </w:tc>
        <w:tc>
          <w:tcPr>
            <w:tcW w:w="254" w:type="pct"/>
            <w:shd w:val="clear" w:color="auto" w:fill="auto"/>
            <w:vAlign w:val="center"/>
            <w:hideMark/>
          </w:tcPr>
          <w:p w:rsidR="0037470F" w:rsidRPr="00F73EEB" w:rsidRDefault="0037470F" w:rsidP="00735CAB">
            <w:pPr>
              <w:spacing w:line="240" w:lineRule="auto"/>
              <w:jc w:val="right"/>
              <w:rPr>
                <w:sz w:val="19"/>
                <w:szCs w:val="19"/>
                <w:lang w:val="en-IN" w:eastAsia="en-IN"/>
              </w:rPr>
            </w:pPr>
          </w:p>
        </w:tc>
        <w:tc>
          <w:tcPr>
            <w:tcW w:w="254" w:type="pct"/>
            <w:shd w:val="clear" w:color="auto" w:fill="auto"/>
            <w:vAlign w:val="center"/>
            <w:hideMark/>
          </w:tcPr>
          <w:p w:rsidR="0037470F" w:rsidRPr="00F73EEB" w:rsidRDefault="0037470F" w:rsidP="00735CAB">
            <w:pPr>
              <w:spacing w:line="240" w:lineRule="auto"/>
              <w:jc w:val="right"/>
              <w:rPr>
                <w:sz w:val="19"/>
                <w:szCs w:val="19"/>
                <w:lang w:val="en-IN" w:eastAsia="en-IN"/>
              </w:rPr>
            </w:pPr>
          </w:p>
        </w:tc>
        <w:tc>
          <w:tcPr>
            <w:tcW w:w="282" w:type="pct"/>
            <w:vMerge w:val="restart"/>
            <w:shd w:val="clear" w:color="auto" w:fill="auto"/>
            <w:vAlign w:val="center"/>
            <w:hideMark/>
          </w:tcPr>
          <w:p w:rsidR="0037470F" w:rsidRPr="00F73EEB" w:rsidRDefault="0037470F" w:rsidP="00735CAB">
            <w:pPr>
              <w:spacing w:line="240" w:lineRule="auto"/>
              <w:jc w:val="right"/>
              <w:rPr>
                <w:bCs/>
                <w:sz w:val="19"/>
                <w:szCs w:val="19"/>
                <w:lang w:val="en-IN" w:eastAsia="en-IN"/>
              </w:rPr>
            </w:pPr>
            <w:r w:rsidRPr="00F73EEB">
              <w:rPr>
                <w:bCs/>
                <w:sz w:val="19"/>
                <w:szCs w:val="19"/>
                <w:lang w:val="en-IN" w:eastAsia="en-IN"/>
              </w:rPr>
              <w:t>78.56</w:t>
            </w:r>
          </w:p>
        </w:tc>
        <w:tc>
          <w:tcPr>
            <w:tcW w:w="280" w:type="pct"/>
            <w:vMerge w:val="restart"/>
            <w:shd w:val="clear" w:color="auto" w:fill="auto"/>
            <w:vAlign w:val="center"/>
            <w:hideMark/>
          </w:tcPr>
          <w:p w:rsidR="0037470F" w:rsidRPr="00F73EEB" w:rsidRDefault="0037470F" w:rsidP="00735CAB">
            <w:pPr>
              <w:spacing w:line="240" w:lineRule="auto"/>
              <w:jc w:val="right"/>
              <w:rPr>
                <w:bCs/>
                <w:sz w:val="19"/>
                <w:szCs w:val="19"/>
                <w:lang w:val="en-IN" w:eastAsia="en-IN"/>
              </w:rPr>
            </w:pPr>
            <w:r w:rsidRPr="00F73EEB">
              <w:rPr>
                <w:bCs/>
                <w:sz w:val="19"/>
                <w:szCs w:val="19"/>
                <w:lang w:val="en-IN" w:eastAsia="en-IN"/>
              </w:rPr>
              <w:t>81.70</w:t>
            </w:r>
          </w:p>
        </w:tc>
        <w:tc>
          <w:tcPr>
            <w:tcW w:w="282" w:type="pct"/>
            <w:vMerge w:val="restart"/>
            <w:shd w:val="clear" w:color="auto" w:fill="auto"/>
            <w:vAlign w:val="center"/>
            <w:hideMark/>
          </w:tcPr>
          <w:p w:rsidR="0037470F" w:rsidRPr="00F73EEB" w:rsidRDefault="0037470F" w:rsidP="00735CAB">
            <w:pPr>
              <w:spacing w:line="240" w:lineRule="auto"/>
              <w:jc w:val="right"/>
              <w:rPr>
                <w:bCs/>
                <w:sz w:val="19"/>
                <w:szCs w:val="19"/>
                <w:lang w:val="en-IN" w:eastAsia="en-IN"/>
              </w:rPr>
            </w:pPr>
            <w:r w:rsidRPr="00F73EEB">
              <w:rPr>
                <w:bCs/>
                <w:sz w:val="19"/>
                <w:szCs w:val="19"/>
                <w:lang w:val="en-IN" w:eastAsia="en-IN"/>
              </w:rPr>
              <w:t>84.97</w:t>
            </w:r>
          </w:p>
        </w:tc>
        <w:tc>
          <w:tcPr>
            <w:tcW w:w="272" w:type="pct"/>
            <w:vMerge w:val="restart"/>
            <w:shd w:val="clear" w:color="auto" w:fill="auto"/>
            <w:vAlign w:val="center"/>
            <w:hideMark/>
          </w:tcPr>
          <w:p w:rsidR="0037470F" w:rsidRPr="00F73EEB" w:rsidRDefault="0037470F" w:rsidP="00735CAB">
            <w:pPr>
              <w:spacing w:line="240" w:lineRule="auto"/>
              <w:jc w:val="right"/>
              <w:rPr>
                <w:bCs/>
                <w:sz w:val="19"/>
                <w:szCs w:val="19"/>
                <w:lang w:val="en-IN" w:eastAsia="en-IN"/>
              </w:rPr>
            </w:pPr>
            <w:r w:rsidRPr="00F73EEB">
              <w:rPr>
                <w:bCs/>
                <w:sz w:val="19"/>
                <w:szCs w:val="19"/>
                <w:lang w:val="en-IN" w:eastAsia="en-IN"/>
              </w:rPr>
              <w:t>88.37</w:t>
            </w:r>
          </w:p>
        </w:tc>
      </w:tr>
      <w:tr w:rsidR="00C83EE1" w:rsidRPr="00F73EEB" w:rsidTr="00C83EE1">
        <w:trPr>
          <w:trHeight w:val="18"/>
          <w:jc w:val="center"/>
        </w:trPr>
        <w:tc>
          <w:tcPr>
            <w:tcW w:w="149" w:type="pct"/>
            <w:shd w:val="clear" w:color="auto" w:fill="auto"/>
            <w:hideMark/>
          </w:tcPr>
          <w:p w:rsidR="0037470F" w:rsidRPr="00F73EEB" w:rsidRDefault="0037470F" w:rsidP="00F73EEB">
            <w:pPr>
              <w:spacing w:line="240" w:lineRule="auto"/>
              <w:jc w:val="center"/>
              <w:rPr>
                <w:sz w:val="19"/>
                <w:szCs w:val="19"/>
                <w:lang w:val="en-IN" w:eastAsia="en-IN"/>
              </w:rPr>
            </w:pPr>
            <w:r w:rsidRPr="00F73EEB">
              <w:rPr>
                <w:sz w:val="19"/>
                <w:szCs w:val="19"/>
                <w:lang w:val="en-IN" w:eastAsia="en-IN"/>
              </w:rPr>
              <w:t> </w:t>
            </w:r>
          </w:p>
        </w:tc>
        <w:tc>
          <w:tcPr>
            <w:tcW w:w="461" w:type="pct"/>
            <w:shd w:val="clear" w:color="auto" w:fill="auto"/>
            <w:noWrap/>
            <w:vAlign w:val="bottom"/>
            <w:hideMark/>
          </w:tcPr>
          <w:p w:rsidR="0037470F" w:rsidRPr="00F73EEB" w:rsidRDefault="0037470F" w:rsidP="00F73EEB">
            <w:pPr>
              <w:spacing w:line="240" w:lineRule="auto"/>
              <w:jc w:val="left"/>
              <w:rPr>
                <w:sz w:val="19"/>
                <w:szCs w:val="19"/>
                <w:lang w:val="en-IN" w:eastAsia="en-IN"/>
              </w:rPr>
            </w:pPr>
            <w:r w:rsidRPr="00F73EEB">
              <w:rPr>
                <w:sz w:val="19"/>
                <w:szCs w:val="19"/>
                <w:lang w:val="en-IN" w:eastAsia="en-IN"/>
              </w:rPr>
              <w:t>KAPS Stage II</w:t>
            </w:r>
          </w:p>
        </w:tc>
        <w:tc>
          <w:tcPr>
            <w:tcW w:w="254" w:type="pct"/>
            <w:shd w:val="clear" w:color="auto" w:fill="auto"/>
            <w:vAlign w:val="center"/>
            <w:hideMark/>
          </w:tcPr>
          <w:p w:rsidR="0037470F" w:rsidRPr="00F73EEB" w:rsidRDefault="0037470F" w:rsidP="00735CAB">
            <w:pPr>
              <w:spacing w:line="240" w:lineRule="auto"/>
              <w:jc w:val="right"/>
              <w:rPr>
                <w:bCs/>
                <w:sz w:val="19"/>
                <w:szCs w:val="19"/>
                <w:lang w:val="en-IN" w:eastAsia="en-IN"/>
              </w:rPr>
            </w:pPr>
            <w:r w:rsidRPr="00F73EEB">
              <w:rPr>
                <w:bCs/>
                <w:sz w:val="19"/>
                <w:szCs w:val="19"/>
                <w:lang w:val="en-IN" w:eastAsia="en-IN"/>
              </w:rPr>
              <w:t>125.60</w:t>
            </w:r>
          </w:p>
        </w:tc>
        <w:tc>
          <w:tcPr>
            <w:tcW w:w="282" w:type="pct"/>
            <w:shd w:val="clear" w:color="auto" w:fill="auto"/>
            <w:vAlign w:val="center"/>
            <w:hideMark/>
          </w:tcPr>
          <w:p w:rsidR="0037470F" w:rsidRPr="00F73EEB" w:rsidRDefault="0037470F" w:rsidP="00735CAB">
            <w:pPr>
              <w:spacing w:line="240" w:lineRule="auto"/>
              <w:jc w:val="right"/>
              <w:rPr>
                <w:sz w:val="19"/>
                <w:szCs w:val="19"/>
                <w:lang w:val="en-IN" w:eastAsia="en-IN"/>
              </w:rPr>
            </w:pPr>
            <w:r w:rsidRPr="00F73EEB">
              <w:rPr>
                <w:sz w:val="19"/>
                <w:szCs w:val="19"/>
                <w:lang w:val="en-IN" w:eastAsia="en-IN"/>
              </w:rPr>
              <w:t>125.60</w:t>
            </w:r>
          </w:p>
        </w:tc>
        <w:tc>
          <w:tcPr>
            <w:tcW w:w="310" w:type="pct"/>
            <w:shd w:val="clear" w:color="auto" w:fill="auto"/>
            <w:vAlign w:val="center"/>
            <w:hideMark/>
          </w:tcPr>
          <w:p w:rsidR="0037470F" w:rsidRPr="00F73EEB" w:rsidRDefault="0037470F" w:rsidP="00735CAB">
            <w:pPr>
              <w:spacing w:line="240" w:lineRule="auto"/>
              <w:jc w:val="right"/>
              <w:rPr>
                <w:sz w:val="19"/>
                <w:szCs w:val="19"/>
                <w:lang w:val="en-IN" w:eastAsia="en-IN"/>
              </w:rPr>
            </w:pPr>
            <w:r w:rsidRPr="00F73EEB">
              <w:rPr>
                <w:sz w:val="19"/>
                <w:szCs w:val="19"/>
                <w:lang w:val="en-IN" w:eastAsia="en-IN"/>
              </w:rPr>
              <w:t>125.60</w:t>
            </w:r>
          </w:p>
        </w:tc>
        <w:tc>
          <w:tcPr>
            <w:tcW w:w="282" w:type="pct"/>
            <w:shd w:val="clear" w:color="auto" w:fill="auto"/>
            <w:vAlign w:val="center"/>
            <w:hideMark/>
          </w:tcPr>
          <w:p w:rsidR="0037470F" w:rsidRPr="00F73EEB" w:rsidRDefault="0037470F" w:rsidP="00735CAB">
            <w:pPr>
              <w:spacing w:line="240" w:lineRule="auto"/>
              <w:jc w:val="right"/>
              <w:rPr>
                <w:sz w:val="19"/>
                <w:szCs w:val="19"/>
                <w:lang w:val="en-IN" w:eastAsia="en-IN"/>
              </w:rPr>
            </w:pPr>
            <w:r w:rsidRPr="00F73EEB">
              <w:rPr>
                <w:sz w:val="19"/>
                <w:szCs w:val="19"/>
                <w:lang w:val="en-IN" w:eastAsia="en-IN"/>
              </w:rPr>
              <w:t>125.60</w:t>
            </w:r>
          </w:p>
        </w:tc>
        <w:tc>
          <w:tcPr>
            <w:tcW w:w="282" w:type="pct"/>
            <w:vMerge/>
            <w:shd w:val="clear" w:color="auto" w:fill="auto"/>
            <w:noWrap/>
            <w:vAlign w:val="center"/>
            <w:hideMark/>
          </w:tcPr>
          <w:p w:rsidR="0037470F" w:rsidRPr="00F73EEB" w:rsidRDefault="0037470F" w:rsidP="00735CAB">
            <w:pPr>
              <w:spacing w:line="240" w:lineRule="auto"/>
              <w:jc w:val="right"/>
              <w:rPr>
                <w:color w:val="000000"/>
                <w:sz w:val="19"/>
                <w:szCs w:val="19"/>
                <w:lang w:val="en-IN" w:eastAsia="en-IN"/>
              </w:rPr>
            </w:pPr>
          </w:p>
        </w:tc>
        <w:tc>
          <w:tcPr>
            <w:tcW w:w="254" w:type="pct"/>
            <w:vMerge/>
            <w:shd w:val="clear" w:color="auto" w:fill="auto"/>
            <w:vAlign w:val="center"/>
            <w:hideMark/>
          </w:tcPr>
          <w:p w:rsidR="0037470F" w:rsidRPr="00F73EEB" w:rsidRDefault="0037470F" w:rsidP="00735CAB">
            <w:pPr>
              <w:spacing w:line="240" w:lineRule="auto"/>
              <w:jc w:val="right"/>
              <w:rPr>
                <w:sz w:val="19"/>
                <w:szCs w:val="19"/>
                <w:lang w:val="en-IN" w:eastAsia="en-IN"/>
              </w:rPr>
            </w:pPr>
          </w:p>
        </w:tc>
        <w:tc>
          <w:tcPr>
            <w:tcW w:w="282" w:type="pct"/>
            <w:vMerge/>
            <w:shd w:val="clear" w:color="auto" w:fill="auto"/>
            <w:vAlign w:val="center"/>
            <w:hideMark/>
          </w:tcPr>
          <w:p w:rsidR="0037470F" w:rsidRPr="00F73EEB" w:rsidRDefault="0037470F" w:rsidP="00735CAB">
            <w:pPr>
              <w:spacing w:line="240" w:lineRule="auto"/>
              <w:jc w:val="right"/>
              <w:rPr>
                <w:sz w:val="19"/>
                <w:szCs w:val="19"/>
                <w:lang w:val="en-IN" w:eastAsia="en-IN"/>
              </w:rPr>
            </w:pPr>
          </w:p>
        </w:tc>
        <w:tc>
          <w:tcPr>
            <w:tcW w:w="308" w:type="pct"/>
            <w:vMerge/>
            <w:shd w:val="clear" w:color="auto" w:fill="auto"/>
            <w:vAlign w:val="center"/>
            <w:hideMark/>
          </w:tcPr>
          <w:p w:rsidR="0037470F" w:rsidRPr="00F73EEB" w:rsidRDefault="0037470F" w:rsidP="00735CAB">
            <w:pPr>
              <w:spacing w:line="240" w:lineRule="auto"/>
              <w:jc w:val="right"/>
              <w:rPr>
                <w:sz w:val="19"/>
                <w:szCs w:val="19"/>
                <w:lang w:val="en-IN" w:eastAsia="en-IN"/>
              </w:rPr>
            </w:pPr>
          </w:p>
        </w:tc>
        <w:tc>
          <w:tcPr>
            <w:tcW w:w="260" w:type="pct"/>
            <w:shd w:val="clear" w:color="auto" w:fill="auto"/>
            <w:vAlign w:val="center"/>
            <w:hideMark/>
          </w:tcPr>
          <w:p w:rsidR="0037470F" w:rsidRPr="00F73EEB" w:rsidRDefault="0037470F" w:rsidP="00735CAB">
            <w:pPr>
              <w:spacing w:line="240" w:lineRule="auto"/>
              <w:jc w:val="right"/>
              <w:rPr>
                <w:sz w:val="19"/>
                <w:szCs w:val="19"/>
                <w:lang w:val="en-IN" w:eastAsia="en-IN"/>
              </w:rPr>
            </w:pPr>
          </w:p>
        </w:tc>
        <w:tc>
          <w:tcPr>
            <w:tcW w:w="252" w:type="pct"/>
            <w:shd w:val="clear" w:color="auto" w:fill="auto"/>
            <w:vAlign w:val="center"/>
            <w:hideMark/>
          </w:tcPr>
          <w:p w:rsidR="0037470F" w:rsidRPr="00F73EEB" w:rsidRDefault="0037470F" w:rsidP="00735CAB">
            <w:pPr>
              <w:spacing w:line="240" w:lineRule="auto"/>
              <w:jc w:val="right"/>
              <w:rPr>
                <w:sz w:val="19"/>
                <w:szCs w:val="19"/>
                <w:lang w:val="en-IN" w:eastAsia="en-IN"/>
              </w:rPr>
            </w:pPr>
          </w:p>
        </w:tc>
        <w:tc>
          <w:tcPr>
            <w:tcW w:w="254" w:type="pct"/>
            <w:shd w:val="clear" w:color="auto" w:fill="auto"/>
            <w:vAlign w:val="center"/>
            <w:hideMark/>
          </w:tcPr>
          <w:p w:rsidR="0037470F" w:rsidRPr="00F73EEB" w:rsidRDefault="0037470F" w:rsidP="00735CAB">
            <w:pPr>
              <w:spacing w:line="240" w:lineRule="auto"/>
              <w:jc w:val="right"/>
              <w:rPr>
                <w:sz w:val="19"/>
                <w:szCs w:val="19"/>
                <w:lang w:val="en-IN" w:eastAsia="en-IN"/>
              </w:rPr>
            </w:pPr>
          </w:p>
        </w:tc>
        <w:tc>
          <w:tcPr>
            <w:tcW w:w="254" w:type="pct"/>
            <w:shd w:val="clear" w:color="auto" w:fill="auto"/>
            <w:vAlign w:val="center"/>
            <w:hideMark/>
          </w:tcPr>
          <w:p w:rsidR="0037470F" w:rsidRPr="00F73EEB" w:rsidRDefault="0037470F" w:rsidP="00735CAB">
            <w:pPr>
              <w:spacing w:line="240" w:lineRule="auto"/>
              <w:jc w:val="right"/>
              <w:rPr>
                <w:sz w:val="19"/>
                <w:szCs w:val="19"/>
                <w:lang w:val="en-IN" w:eastAsia="en-IN"/>
              </w:rPr>
            </w:pPr>
          </w:p>
        </w:tc>
        <w:tc>
          <w:tcPr>
            <w:tcW w:w="282" w:type="pct"/>
            <w:vMerge/>
            <w:shd w:val="clear" w:color="auto" w:fill="auto"/>
            <w:vAlign w:val="center"/>
            <w:hideMark/>
          </w:tcPr>
          <w:p w:rsidR="0037470F" w:rsidRPr="00F73EEB" w:rsidRDefault="0037470F" w:rsidP="00735CAB">
            <w:pPr>
              <w:spacing w:line="240" w:lineRule="auto"/>
              <w:jc w:val="right"/>
              <w:rPr>
                <w:bCs/>
                <w:sz w:val="19"/>
                <w:szCs w:val="19"/>
                <w:lang w:val="en-IN" w:eastAsia="en-IN"/>
              </w:rPr>
            </w:pPr>
          </w:p>
        </w:tc>
        <w:tc>
          <w:tcPr>
            <w:tcW w:w="280" w:type="pct"/>
            <w:vMerge/>
            <w:shd w:val="clear" w:color="auto" w:fill="auto"/>
            <w:vAlign w:val="center"/>
            <w:hideMark/>
          </w:tcPr>
          <w:p w:rsidR="0037470F" w:rsidRPr="00F73EEB" w:rsidRDefault="0037470F" w:rsidP="00735CAB">
            <w:pPr>
              <w:spacing w:line="240" w:lineRule="auto"/>
              <w:jc w:val="right"/>
              <w:rPr>
                <w:bCs/>
                <w:sz w:val="19"/>
                <w:szCs w:val="19"/>
                <w:lang w:val="en-IN" w:eastAsia="en-IN"/>
              </w:rPr>
            </w:pPr>
          </w:p>
        </w:tc>
        <w:tc>
          <w:tcPr>
            <w:tcW w:w="282" w:type="pct"/>
            <w:vMerge/>
            <w:shd w:val="clear" w:color="auto" w:fill="auto"/>
            <w:vAlign w:val="center"/>
            <w:hideMark/>
          </w:tcPr>
          <w:p w:rsidR="0037470F" w:rsidRPr="00F73EEB" w:rsidRDefault="0037470F" w:rsidP="00735CAB">
            <w:pPr>
              <w:spacing w:line="240" w:lineRule="auto"/>
              <w:jc w:val="right"/>
              <w:rPr>
                <w:bCs/>
                <w:sz w:val="19"/>
                <w:szCs w:val="19"/>
                <w:lang w:val="en-IN" w:eastAsia="en-IN"/>
              </w:rPr>
            </w:pPr>
          </w:p>
        </w:tc>
        <w:tc>
          <w:tcPr>
            <w:tcW w:w="272" w:type="pct"/>
            <w:vMerge/>
            <w:shd w:val="clear" w:color="auto" w:fill="auto"/>
            <w:vAlign w:val="center"/>
            <w:hideMark/>
          </w:tcPr>
          <w:p w:rsidR="0037470F" w:rsidRPr="00F73EEB" w:rsidRDefault="0037470F" w:rsidP="00735CAB">
            <w:pPr>
              <w:spacing w:line="240" w:lineRule="auto"/>
              <w:jc w:val="right"/>
              <w:rPr>
                <w:bCs/>
                <w:sz w:val="19"/>
                <w:szCs w:val="19"/>
                <w:lang w:val="en-IN" w:eastAsia="en-IN"/>
              </w:rPr>
            </w:pPr>
          </w:p>
        </w:tc>
      </w:tr>
      <w:tr w:rsidR="00C83EE1" w:rsidRPr="00F73EEB" w:rsidTr="00C83EE1">
        <w:trPr>
          <w:trHeight w:val="18"/>
          <w:jc w:val="center"/>
        </w:trPr>
        <w:tc>
          <w:tcPr>
            <w:tcW w:w="149" w:type="pct"/>
            <w:shd w:val="clear" w:color="auto" w:fill="auto"/>
            <w:hideMark/>
          </w:tcPr>
          <w:p w:rsidR="0037470F" w:rsidRPr="00F73EEB" w:rsidRDefault="0037470F" w:rsidP="00F73EEB">
            <w:pPr>
              <w:spacing w:line="240" w:lineRule="auto"/>
              <w:jc w:val="center"/>
              <w:rPr>
                <w:sz w:val="19"/>
                <w:szCs w:val="19"/>
                <w:lang w:val="en-IN" w:eastAsia="en-IN"/>
              </w:rPr>
            </w:pPr>
            <w:r w:rsidRPr="00F73EEB">
              <w:rPr>
                <w:sz w:val="19"/>
                <w:szCs w:val="19"/>
                <w:lang w:val="en-IN" w:eastAsia="en-IN"/>
              </w:rPr>
              <w:t> </w:t>
            </w:r>
          </w:p>
        </w:tc>
        <w:tc>
          <w:tcPr>
            <w:tcW w:w="461" w:type="pct"/>
            <w:shd w:val="clear" w:color="auto" w:fill="auto"/>
            <w:noWrap/>
            <w:vAlign w:val="bottom"/>
            <w:hideMark/>
          </w:tcPr>
          <w:p w:rsidR="0037470F" w:rsidRPr="00F73EEB" w:rsidRDefault="0037470F" w:rsidP="00F73EEB">
            <w:pPr>
              <w:spacing w:line="240" w:lineRule="auto"/>
              <w:jc w:val="left"/>
              <w:rPr>
                <w:sz w:val="19"/>
                <w:szCs w:val="19"/>
                <w:lang w:val="en-IN" w:eastAsia="en-IN"/>
              </w:rPr>
            </w:pPr>
            <w:r w:rsidRPr="00F73EEB">
              <w:rPr>
                <w:sz w:val="19"/>
                <w:szCs w:val="19"/>
                <w:lang w:val="en-IN" w:eastAsia="en-IN"/>
              </w:rPr>
              <w:t>Kudankulam U1</w:t>
            </w:r>
          </w:p>
        </w:tc>
        <w:tc>
          <w:tcPr>
            <w:tcW w:w="254" w:type="pct"/>
            <w:shd w:val="clear" w:color="auto" w:fill="auto"/>
            <w:vAlign w:val="center"/>
            <w:hideMark/>
          </w:tcPr>
          <w:p w:rsidR="0037470F" w:rsidRPr="00F73EEB" w:rsidRDefault="0037470F" w:rsidP="00735CAB">
            <w:pPr>
              <w:spacing w:line="240" w:lineRule="auto"/>
              <w:jc w:val="right"/>
              <w:rPr>
                <w:bCs/>
                <w:sz w:val="19"/>
                <w:szCs w:val="19"/>
                <w:lang w:val="en-IN" w:eastAsia="en-IN"/>
              </w:rPr>
            </w:pPr>
            <w:r w:rsidRPr="00F73EEB">
              <w:rPr>
                <w:bCs/>
                <w:sz w:val="19"/>
                <w:szCs w:val="19"/>
                <w:lang w:val="en-IN" w:eastAsia="en-IN"/>
              </w:rPr>
              <w:t>127.13</w:t>
            </w:r>
          </w:p>
        </w:tc>
        <w:tc>
          <w:tcPr>
            <w:tcW w:w="282" w:type="pct"/>
            <w:shd w:val="clear" w:color="auto" w:fill="auto"/>
            <w:vAlign w:val="center"/>
            <w:hideMark/>
          </w:tcPr>
          <w:p w:rsidR="0037470F" w:rsidRPr="00F73EEB" w:rsidRDefault="0037470F" w:rsidP="00735CAB">
            <w:pPr>
              <w:spacing w:line="240" w:lineRule="auto"/>
              <w:jc w:val="right"/>
              <w:rPr>
                <w:sz w:val="19"/>
                <w:szCs w:val="19"/>
                <w:lang w:val="en-IN" w:eastAsia="en-IN"/>
              </w:rPr>
            </w:pPr>
            <w:r w:rsidRPr="00F73EEB">
              <w:rPr>
                <w:sz w:val="19"/>
                <w:szCs w:val="19"/>
                <w:lang w:val="en-IN" w:eastAsia="en-IN"/>
              </w:rPr>
              <w:t>127.13</w:t>
            </w:r>
          </w:p>
        </w:tc>
        <w:tc>
          <w:tcPr>
            <w:tcW w:w="310" w:type="pct"/>
            <w:shd w:val="clear" w:color="auto" w:fill="auto"/>
            <w:vAlign w:val="center"/>
            <w:hideMark/>
          </w:tcPr>
          <w:p w:rsidR="0037470F" w:rsidRPr="00F73EEB" w:rsidRDefault="0037470F" w:rsidP="00735CAB">
            <w:pPr>
              <w:spacing w:line="240" w:lineRule="auto"/>
              <w:jc w:val="right"/>
              <w:rPr>
                <w:sz w:val="19"/>
                <w:szCs w:val="19"/>
                <w:lang w:val="en-IN" w:eastAsia="en-IN"/>
              </w:rPr>
            </w:pPr>
            <w:r w:rsidRPr="00F73EEB">
              <w:rPr>
                <w:sz w:val="19"/>
                <w:szCs w:val="19"/>
                <w:lang w:val="en-IN" w:eastAsia="en-IN"/>
              </w:rPr>
              <w:t>127.13</w:t>
            </w:r>
          </w:p>
        </w:tc>
        <w:tc>
          <w:tcPr>
            <w:tcW w:w="282" w:type="pct"/>
            <w:shd w:val="clear" w:color="auto" w:fill="auto"/>
            <w:vAlign w:val="center"/>
            <w:hideMark/>
          </w:tcPr>
          <w:p w:rsidR="0037470F" w:rsidRPr="00F73EEB" w:rsidRDefault="0037470F" w:rsidP="00735CAB">
            <w:pPr>
              <w:spacing w:line="240" w:lineRule="auto"/>
              <w:jc w:val="right"/>
              <w:rPr>
                <w:sz w:val="19"/>
                <w:szCs w:val="19"/>
                <w:lang w:val="en-IN" w:eastAsia="en-IN"/>
              </w:rPr>
            </w:pPr>
            <w:r w:rsidRPr="00F73EEB">
              <w:rPr>
                <w:sz w:val="19"/>
                <w:szCs w:val="19"/>
                <w:lang w:val="en-IN" w:eastAsia="en-IN"/>
              </w:rPr>
              <w:t>127.13</w:t>
            </w:r>
          </w:p>
        </w:tc>
        <w:tc>
          <w:tcPr>
            <w:tcW w:w="282" w:type="pct"/>
            <w:vMerge w:val="restart"/>
            <w:shd w:val="clear" w:color="auto" w:fill="auto"/>
            <w:noWrap/>
            <w:vAlign w:val="center"/>
            <w:hideMark/>
          </w:tcPr>
          <w:p w:rsidR="0037470F" w:rsidRPr="00F73EEB" w:rsidRDefault="0037470F" w:rsidP="00735CAB">
            <w:pPr>
              <w:spacing w:line="240" w:lineRule="auto"/>
              <w:jc w:val="right"/>
              <w:rPr>
                <w:color w:val="000000"/>
                <w:sz w:val="19"/>
                <w:szCs w:val="19"/>
                <w:lang w:val="en-IN" w:eastAsia="en-IN"/>
              </w:rPr>
            </w:pPr>
            <w:r w:rsidRPr="00F73EEB">
              <w:rPr>
                <w:color w:val="000000"/>
                <w:sz w:val="19"/>
                <w:szCs w:val="19"/>
                <w:lang w:val="en-IN" w:eastAsia="en-IN"/>
              </w:rPr>
              <w:t>101.24</w:t>
            </w:r>
          </w:p>
        </w:tc>
        <w:tc>
          <w:tcPr>
            <w:tcW w:w="254" w:type="pct"/>
            <w:vMerge w:val="restart"/>
            <w:shd w:val="clear" w:color="auto" w:fill="auto"/>
            <w:vAlign w:val="center"/>
            <w:hideMark/>
          </w:tcPr>
          <w:p w:rsidR="0037470F" w:rsidRPr="00F73EEB" w:rsidRDefault="0037470F" w:rsidP="00735CAB">
            <w:pPr>
              <w:spacing w:line="240" w:lineRule="auto"/>
              <w:jc w:val="right"/>
              <w:rPr>
                <w:sz w:val="19"/>
                <w:szCs w:val="19"/>
                <w:lang w:val="en-IN" w:eastAsia="en-IN"/>
              </w:rPr>
            </w:pPr>
            <w:r w:rsidRPr="00F73EEB">
              <w:rPr>
                <w:sz w:val="19"/>
                <w:szCs w:val="19"/>
                <w:lang w:val="en-IN" w:eastAsia="en-IN"/>
              </w:rPr>
              <w:t>105.29</w:t>
            </w:r>
          </w:p>
        </w:tc>
        <w:tc>
          <w:tcPr>
            <w:tcW w:w="282" w:type="pct"/>
            <w:vMerge w:val="restart"/>
            <w:shd w:val="clear" w:color="auto" w:fill="auto"/>
            <w:vAlign w:val="center"/>
            <w:hideMark/>
          </w:tcPr>
          <w:p w:rsidR="0037470F" w:rsidRPr="00F73EEB" w:rsidRDefault="0037470F" w:rsidP="00735CAB">
            <w:pPr>
              <w:spacing w:line="240" w:lineRule="auto"/>
              <w:jc w:val="right"/>
              <w:rPr>
                <w:sz w:val="19"/>
                <w:szCs w:val="19"/>
                <w:lang w:val="en-IN" w:eastAsia="en-IN"/>
              </w:rPr>
            </w:pPr>
            <w:r w:rsidRPr="00F73EEB">
              <w:rPr>
                <w:sz w:val="19"/>
                <w:szCs w:val="19"/>
                <w:lang w:val="en-IN" w:eastAsia="en-IN"/>
              </w:rPr>
              <w:t>109.50</w:t>
            </w:r>
          </w:p>
        </w:tc>
        <w:tc>
          <w:tcPr>
            <w:tcW w:w="308" w:type="pct"/>
            <w:vMerge w:val="restart"/>
            <w:shd w:val="clear" w:color="auto" w:fill="auto"/>
            <w:vAlign w:val="center"/>
            <w:hideMark/>
          </w:tcPr>
          <w:p w:rsidR="0037470F" w:rsidRPr="00F73EEB" w:rsidRDefault="0037470F" w:rsidP="00735CAB">
            <w:pPr>
              <w:spacing w:line="240" w:lineRule="auto"/>
              <w:jc w:val="right"/>
              <w:rPr>
                <w:sz w:val="19"/>
                <w:szCs w:val="19"/>
                <w:lang w:val="en-IN" w:eastAsia="en-IN"/>
              </w:rPr>
            </w:pPr>
            <w:r w:rsidRPr="00F73EEB">
              <w:rPr>
                <w:sz w:val="19"/>
                <w:szCs w:val="19"/>
                <w:lang w:val="en-IN" w:eastAsia="en-IN"/>
              </w:rPr>
              <w:t>113.88</w:t>
            </w:r>
          </w:p>
        </w:tc>
        <w:tc>
          <w:tcPr>
            <w:tcW w:w="260" w:type="pct"/>
            <w:shd w:val="clear" w:color="auto" w:fill="auto"/>
            <w:vAlign w:val="center"/>
            <w:hideMark/>
          </w:tcPr>
          <w:p w:rsidR="0037470F" w:rsidRPr="00F73EEB" w:rsidRDefault="0037470F" w:rsidP="00735CAB">
            <w:pPr>
              <w:spacing w:line="240" w:lineRule="auto"/>
              <w:jc w:val="right"/>
              <w:rPr>
                <w:sz w:val="19"/>
                <w:szCs w:val="19"/>
                <w:lang w:val="en-IN" w:eastAsia="en-IN"/>
              </w:rPr>
            </w:pPr>
          </w:p>
        </w:tc>
        <w:tc>
          <w:tcPr>
            <w:tcW w:w="252" w:type="pct"/>
            <w:shd w:val="clear" w:color="auto" w:fill="auto"/>
            <w:vAlign w:val="center"/>
            <w:hideMark/>
          </w:tcPr>
          <w:p w:rsidR="0037470F" w:rsidRPr="00F73EEB" w:rsidRDefault="0037470F" w:rsidP="00735CAB">
            <w:pPr>
              <w:spacing w:line="240" w:lineRule="auto"/>
              <w:jc w:val="right"/>
              <w:rPr>
                <w:sz w:val="19"/>
                <w:szCs w:val="19"/>
                <w:lang w:val="en-IN" w:eastAsia="en-IN"/>
              </w:rPr>
            </w:pPr>
          </w:p>
        </w:tc>
        <w:tc>
          <w:tcPr>
            <w:tcW w:w="254" w:type="pct"/>
            <w:shd w:val="clear" w:color="auto" w:fill="auto"/>
            <w:vAlign w:val="center"/>
            <w:hideMark/>
          </w:tcPr>
          <w:p w:rsidR="0037470F" w:rsidRPr="00F73EEB" w:rsidRDefault="0037470F" w:rsidP="00735CAB">
            <w:pPr>
              <w:spacing w:line="240" w:lineRule="auto"/>
              <w:jc w:val="right"/>
              <w:rPr>
                <w:sz w:val="19"/>
                <w:szCs w:val="19"/>
                <w:lang w:val="en-IN" w:eastAsia="en-IN"/>
              </w:rPr>
            </w:pPr>
          </w:p>
        </w:tc>
        <w:tc>
          <w:tcPr>
            <w:tcW w:w="254" w:type="pct"/>
            <w:shd w:val="clear" w:color="auto" w:fill="auto"/>
            <w:vAlign w:val="center"/>
            <w:hideMark/>
          </w:tcPr>
          <w:p w:rsidR="0037470F" w:rsidRPr="00F73EEB" w:rsidRDefault="0037470F" w:rsidP="00735CAB">
            <w:pPr>
              <w:spacing w:line="240" w:lineRule="auto"/>
              <w:jc w:val="right"/>
              <w:rPr>
                <w:sz w:val="19"/>
                <w:szCs w:val="19"/>
                <w:lang w:val="en-IN" w:eastAsia="en-IN"/>
              </w:rPr>
            </w:pPr>
          </w:p>
        </w:tc>
        <w:tc>
          <w:tcPr>
            <w:tcW w:w="282" w:type="pct"/>
            <w:vMerge w:val="restart"/>
            <w:shd w:val="clear" w:color="auto" w:fill="auto"/>
            <w:vAlign w:val="center"/>
            <w:hideMark/>
          </w:tcPr>
          <w:p w:rsidR="0037470F" w:rsidRPr="00F73EEB" w:rsidRDefault="0037470F" w:rsidP="00735CAB">
            <w:pPr>
              <w:spacing w:line="240" w:lineRule="auto"/>
              <w:jc w:val="right"/>
              <w:rPr>
                <w:bCs/>
                <w:sz w:val="19"/>
                <w:szCs w:val="19"/>
                <w:lang w:val="en-IN" w:eastAsia="en-IN"/>
              </w:rPr>
            </w:pPr>
            <w:r w:rsidRPr="00F73EEB">
              <w:rPr>
                <w:bCs/>
                <w:sz w:val="19"/>
                <w:szCs w:val="19"/>
                <w:lang w:val="en-IN" w:eastAsia="en-IN"/>
              </w:rPr>
              <w:t>101.24</w:t>
            </w:r>
          </w:p>
        </w:tc>
        <w:tc>
          <w:tcPr>
            <w:tcW w:w="280" w:type="pct"/>
            <w:vMerge w:val="restart"/>
            <w:shd w:val="clear" w:color="auto" w:fill="auto"/>
            <w:vAlign w:val="center"/>
            <w:hideMark/>
          </w:tcPr>
          <w:p w:rsidR="0037470F" w:rsidRPr="00F73EEB" w:rsidRDefault="0037470F" w:rsidP="00735CAB">
            <w:pPr>
              <w:spacing w:line="240" w:lineRule="auto"/>
              <w:jc w:val="right"/>
              <w:rPr>
                <w:bCs/>
                <w:sz w:val="19"/>
                <w:szCs w:val="19"/>
                <w:lang w:val="en-IN" w:eastAsia="en-IN"/>
              </w:rPr>
            </w:pPr>
            <w:r w:rsidRPr="00F73EEB">
              <w:rPr>
                <w:bCs/>
                <w:sz w:val="19"/>
                <w:szCs w:val="19"/>
                <w:lang w:val="en-IN" w:eastAsia="en-IN"/>
              </w:rPr>
              <w:t>105.29</w:t>
            </w:r>
          </w:p>
        </w:tc>
        <w:tc>
          <w:tcPr>
            <w:tcW w:w="282" w:type="pct"/>
            <w:vMerge w:val="restart"/>
            <w:shd w:val="clear" w:color="auto" w:fill="auto"/>
            <w:vAlign w:val="center"/>
            <w:hideMark/>
          </w:tcPr>
          <w:p w:rsidR="0037470F" w:rsidRPr="00F73EEB" w:rsidRDefault="0037470F" w:rsidP="00735CAB">
            <w:pPr>
              <w:spacing w:line="240" w:lineRule="auto"/>
              <w:jc w:val="right"/>
              <w:rPr>
                <w:bCs/>
                <w:sz w:val="19"/>
                <w:szCs w:val="19"/>
                <w:lang w:val="en-IN" w:eastAsia="en-IN"/>
              </w:rPr>
            </w:pPr>
            <w:r w:rsidRPr="00F73EEB">
              <w:rPr>
                <w:bCs/>
                <w:sz w:val="19"/>
                <w:szCs w:val="19"/>
                <w:lang w:val="en-IN" w:eastAsia="en-IN"/>
              </w:rPr>
              <w:t>109.50</w:t>
            </w:r>
          </w:p>
        </w:tc>
        <w:tc>
          <w:tcPr>
            <w:tcW w:w="272" w:type="pct"/>
            <w:vMerge w:val="restart"/>
            <w:shd w:val="clear" w:color="auto" w:fill="auto"/>
            <w:vAlign w:val="center"/>
            <w:hideMark/>
          </w:tcPr>
          <w:p w:rsidR="0037470F" w:rsidRPr="00F73EEB" w:rsidRDefault="0037470F" w:rsidP="00735CAB">
            <w:pPr>
              <w:spacing w:line="240" w:lineRule="auto"/>
              <w:jc w:val="right"/>
              <w:rPr>
                <w:bCs/>
                <w:sz w:val="19"/>
                <w:szCs w:val="19"/>
                <w:lang w:val="en-IN" w:eastAsia="en-IN"/>
              </w:rPr>
            </w:pPr>
            <w:r w:rsidRPr="00F73EEB">
              <w:rPr>
                <w:bCs/>
                <w:sz w:val="19"/>
                <w:szCs w:val="19"/>
                <w:lang w:val="en-IN" w:eastAsia="en-IN"/>
              </w:rPr>
              <w:t>113.88</w:t>
            </w:r>
          </w:p>
        </w:tc>
      </w:tr>
      <w:tr w:rsidR="00C83EE1" w:rsidRPr="00F73EEB" w:rsidTr="00C83EE1">
        <w:trPr>
          <w:trHeight w:val="18"/>
          <w:jc w:val="center"/>
        </w:trPr>
        <w:tc>
          <w:tcPr>
            <w:tcW w:w="149" w:type="pct"/>
            <w:shd w:val="clear" w:color="auto" w:fill="auto"/>
            <w:hideMark/>
          </w:tcPr>
          <w:p w:rsidR="0037470F" w:rsidRPr="00F73EEB" w:rsidRDefault="0037470F" w:rsidP="00F73EEB">
            <w:pPr>
              <w:spacing w:line="240" w:lineRule="auto"/>
              <w:jc w:val="center"/>
              <w:rPr>
                <w:sz w:val="19"/>
                <w:szCs w:val="19"/>
                <w:lang w:val="en-IN" w:eastAsia="en-IN"/>
              </w:rPr>
            </w:pPr>
            <w:r w:rsidRPr="00F73EEB">
              <w:rPr>
                <w:sz w:val="19"/>
                <w:szCs w:val="19"/>
                <w:lang w:val="en-IN" w:eastAsia="en-IN"/>
              </w:rPr>
              <w:t> </w:t>
            </w:r>
          </w:p>
        </w:tc>
        <w:tc>
          <w:tcPr>
            <w:tcW w:w="461" w:type="pct"/>
            <w:shd w:val="clear" w:color="auto" w:fill="auto"/>
            <w:noWrap/>
            <w:vAlign w:val="bottom"/>
            <w:hideMark/>
          </w:tcPr>
          <w:p w:rsidR="0037470F" w:rsidRPr="00F73EEB" w:rsidRDefault="0037470F" w:rsidP="00F73EEB">
            <w:pPr>
              <w:spacing w:line="240" w:lineRule="auto"/>
              <w:jc w:val="left"/>
              <w:rPr>
                <w:sz w:val="19"/>
                <w:szCs w:val="19"/>
                <w:lang w:val="en-IN" w:eastAsia="en-IN"/>
              </w:rPr>
            </w:pPr>
            <w:r w:rsidRPr="00F73EEB">
              <w:rPr>
                <w:sz w:val="19"/>
                <w:szCs w:val="19"/>
                <w:lang w:val="en-IN" w:eastAsia="en-IN"/>
              </w:rPr>
              <w:t>Kudankulam U2</w:t>
            </w:r>
          </w:p>
        </w:tc>
        <w:tc>
          <w:tcPr>
            <w:tcW w:w="254" w:type="pct"/>
            <w:shd w:val="clear" w:color="auto" w:fill="auto"/>
            <w:vAlign w:val="center"/>
            <w:hideMark/>
          </w:tcPr>
          <w:p w:rsidR="0037470F" w:rsidRPr="00F73EEB" w:rsidRDefault="0037470F" w:rsidP="00735CAB">
            <w:pPr>
              <w:spacing w:line="240" w:lineRule="auto"/>
              <w:jc w:val="right"/>
              <w:rPr>
                <w:bCs/>
                <w:sz w:val="19"/>
                <w:szCs w:val="19"/>
                <w:lang w:val="en-IN" w:eastAsia="en-IN"/>
              </w:rPr>
            </w:pPr>
            <w:r w:rsidRPr="00F73EEB">
              <w:rPr>
                <w:bCs/>
                <w:sz w:val="19"/>
                <w:szCs w:val="19"/>
                <w:lang w:val="en-IN" w:eastAsia="en-IN"/>
              </w:rPr>
              <w:t>158.47</w:t>
            </w:r>
          </w:p>
        </w:tc>
        <w:tc>
          <w:tcPr>
            <w:tcW w:w="282" w:type="pct"/>
            <w:shd w:val="clear" w:color="auto" w:fill="auto"/>
            <w:vAlign w:val="center"/>
            <w:hideMark/>
          </w:tcPr>
          <w:p w:rsidR="0037470F" w:rsidRPr="00F73EEB" w:rsidRDefault="0037470F" w:rsidP="00735CAB">
            <w:pPr>
              <w:spacing w:line="240" w:lineRule="auto"/>
              <w:jc w:val="right"/>
              <w:rPr>
                <w:sz w:val="19"/>
                <w:szCs w:val="19"/>
                <w:lang w:val="en-IN" w:eastAsia="en-IN"/>
              </w:rPr>
            </w:pPr>
            <w:r w:rsidRPr="00F73EEB">
              <w:rPr>
                <w:sz w:val="19"/>
                <w:szCs w:val="19"/>
                <w:lang w:val="en-IN" w:eastAsia="en-IN"/>
              </w:rPr>
              <w:t>158.47</w:t>
            </w:r>
          </w:p>
        </w:tc>
        <w:tc>
          <w:tcPr>
            <w:tcW w:w="310" w:type="pct"/>
            <w:shd w:val="clear" w:color="auto" w:fill="auto"/>
            <w:vAlign w:val="center"/>
            <w:hideMark/>
          </w:tcPr>
          <w:p w:rsidR="0037470F" w:rsidRPr="00F73EEB" w:rsidRDefault="0037470F" w:rsidP="00735CAB">
            <w:pPr>
              <w:spacing w:line="240" w:lineRule="auto"/>
              <w:jc w:val="right"/>
              <w:rPr>
                <w:sz w:val="19"/>
                <w:szCs w:val="19"/>
                <w:lang w:val="en-IN" w:eastAsia="en-IN"/>
              </w:rPr>
            </w:pPr>
            <w:r w:rsidRPr="00F73EEB">
              <w:rPr>
                <w:sz w:val="19"/>
                <w:szCs w:val="19"/>
                <w:lang w:val="en-IN" w:eastAsia="en-IN"/>
              </w:rPr>
              <w:t>158.47</w:t>
            </w:r>
          </w:p>
        </w:tc>
        <w:tc>
          <w:tcPr>
            <w:tcW w:w="282" w:type="pct"/>
            <w:shd w:val="clear" w:color="auto" w:fill="auto"/>
            <w:vAlign w:val="center"/>
            <w:hideMark/>
          </w:tcPr>
          <w:p w:rsidR="0037470F" w:rsidRPr="00F73EEB" w:rsidRDefault="0037470F" w:rsidP="00735CAB">
            <w:pPr>
              <w:spacing w:line="240" w:lineRule="auto"/>
              <w:jc w:val="right"/>
              <w:rPr>
                <w:sz w:val="19"/>
                <w:szCs w:val="19"/>
                <w:lang w:val="en-IN" w:eastAsia="en-IN"/>
              </w:rPr>
            </w:pPr>
            <w:r w:rsidRPr="00F73EEB">
              <w:rPr>
                <w:sz w:val="19"/>
                <w:szCs w:val="19"/>
                <w:lang w:val="en-IN" w:eastAsia="en-IN"/>
              </w:rPr>
              <w:t>158.47</w:t>
            </w:r>
          </w:p>
        </w:tc>
        <w:tc>
          <w:tcPr>
            <w:tcW w:w="282" w:type="pct"/>
            <w:vMerge/>
            <w:shd w:val="clear" w:color="auto" w:fill="auto"/>
            <w:noWrap/>
            <w:vAlign w:val="center"/>
            <w:hideMark/>
          </w:tcPr>
          <w:p w:rsidR="0037470F" w:rsidRPr="00F73EEB" w:rsidRDefault="0037470F" w:rsidP="00735CAB">
            <w:pPr>
              <w:spacing w:line="240" w:lineRule="auto"/>
              <w:jc w:val="right"/>
              <w:rPr>
                <w:color w:val="000000"/>
                <w:sz w:val="19"/>
                <w:szCs w:val="19"/>
                <w:lang w:val="en-IN" w:eastAsia="en-IN"/>
              </w:rPr>
            </w:pPr>
          </w:p>
        </w:tc>
        <w:tc>
          <w:tcPr>
            <w:tcW w:w="254" w:type="pct"/>
            <w:vMerge/>
            <w:shd w:val="clear" w:color="auto" w:fill="auto"/>
            <w:vAlign w:val="center"/>
            <w:hideMark/>
          </w:tcPr>
          <w:p w:rsidR="0037470F" w:rsidRPr="00F73EEB" w:rsidRDefault="0037470F" w:rsidP="00735CAB">
            <w:pPr>
              <w:spacing w:line="240" w:lineRule="auto"/>
              <w:jc w:val="right"/>
              <w:rPr>
                <w:sz w:val="19"/>
                <w:szCs w:val="19"/>
                <w:lang w:val="en-IN" w:eastAsia="en-IN"/>
              </w:rPr>
            </w:pPr>
          </w:p>
        </w:tc>
        <w:tc>
          <w:tcPr>
            <w:tcW w:w="282" w:type="pct"/>
            <w:vMerge/>
            <w:shd w:val="clear" w:color="auto" w:fill="auto"/>
            <w:vAlign w:val="center"/>
            <w:hideMark/>
          </w:tcPr>
          <w:p w:rsidR="0037470F" w:rsidRPr="00F73EEB" w:rsidRDefault="0037470F" w:rsidP="00735CAB">
            <w:pPr>
              <w:spacing w:line="240" w:lineRule="auto"/>
              <w:jc w:val="right"/>
              <w:rPr>
                <w:sz w:val="19"/>
                <w:szCs w:val="19"/>
                <w:lang w:val="en-IN" w:eastAsia="en-IN"/>
              </w:rPr>
            </w:pPr>
          </w:p>
        </w:tc>
        <w:tc>
          <w:tcPr>
            <w:tcW w:w="308" w:type="pct"/>
            <w:vMerge/>
            <w:shd w:val="clear" w:color="auto" w:fill="auto"/>
            <w:vAlign w:val="center"/>
            <w:hideMark/>
          </w:tcPr>
          <w:p w:rsidR="0037470F" w:rsidRPr="00F73EEB" w:rsidRDefault="0037470F" w:rsidP="00735CAB">
            <w:pPr>
              <w:spacing w:line="240" w:lineRule="auto"/>
              <w:jc w:val="right"/>
              <w:rPr>
                <w:sz w:val="19"/>
                <w:szCs w:val="19"/>
                <w:lang w:val="en-IN" w:eastAsia="en-IN"/>
              </w:rPr>
            </w:pPr>
          </w:p>
        </w:tc>
        <w:tc>
          <w:tcPr>
            <w:tcW w:w="260" w:type="pct"/>
            <w:shd w:val="clear" w:color="auto" w:fill="auto"/>
            <w:vAlign w:val="center"/>
            <w:hideMark/>
          </w:tcPr>
          <w:p w:rsidR="0037470F" w:rsidRPr="00F73EEB" w:rsidRDefault="0037470F" w:rsidP="00735CAB">
            <w:pPr>
              <w:spacing w:line="240" w:lineRule="auto"/>
              <w:jc w:val="right"/>
              <w:rPr>
                <w:sz w:val="19"/>
                <w:szCs w:val="19"/>
                <w:lang w:val="en-IN" w:eastAsia="en-IN"/>
              </w:rPr>
            </w:pPr>
          </w:p>
        </w:tc>
        <w:tc>
          <w:tcPr>
            <w:tcW w:w="252" w:type="pct"/>
            <w:shd w:val="clear" w:color="auto" w:fill="auto"/>
            <w:vAlign w:val="center"/>
            <w:hideMark/>
          </w:tcPr>
          <w:p w:rsidR="0037470F" w:rsidRPr="00F73EEB" w:rsidRDefault="0037470F" w:rsidP="00735CAB">
            <w:pPr>
              <w:spacing w:line="240" w:lineRule="auto"/>
              <w:jc w:val="right"/>
              <w:rPr>
                <w:sz w:val="19"/>
                <w:szCs w:val="19"/>
                <w:lang w:val="en-IN" w:eastAsia="en-IN"/>
              </w:rPr>
            </w:pPr>
          </w:p>
        </w:tc>
        <w:tc>
          <w:tcPr>
            <w:tcW w:w="254" w:type="pct"/>
            <w:shd w:val="clear" w:color="auto" w:fill="auto"/>
            <w:vAlign w:val="center"/>
            <w:hideMark/>
          </w:tcPr>
          <w:p w:rsidR="0037470F" w:rsidRPr="00F73EEB" w:rsidRDefault="0037470F" w:rsidP="00735CAB">
            <w:pPr>
              <w:spacing w:line="240" w:lineRule="auto"/>
              <w:jc w:val="right"/>
              <w:rPr>
                <w:sz w:val="19"/>
                <w:szCs w:val="19"/>
                <w:lang w:val="en-IN" w:eastAsia="en-IN"/>
              </w:rPr>
            </w:pPr>
          </w:p>
        </w:tc>
        <w:tc>
          <w:tcPr>
            <w:tcW w:w="254" w:type="pct"/>
            <w:shd w:val="clear" w:color="auto" w:fill="auto"/>
            <w:vAlign w:val="center"/>
            <w:hideMark/>
          </w:tcPr>
          <w:p w:rsidR="0037470F" w:rsidRPr="00F73EEB" w:rsidRDefault="0037470F" w:rsidP="00735CAB">
            <w:pPr>
              <w:spacing w:line="240" w:lineRule="auto"/>
              <w:jc w:val="right"/>
              <w:rPr>
                <w:sz w:val="19"/>
                <w:szCs w:val="19"/>
                <w:lang w:val="en-IN" w:eastAsia="en-IN"/>
              </w:rPr>
            </w:pPr>
          </w:p>
        </w:tc>
        <w:tc>
          <w:tcPr>
            <w:tcW w:w="282" w:type="pct"/>
            <w:vMerge/>
            <w:shd w:val="clear" w:color="auto" w:fill="auto"/>
            <w:vAlign w:val="center"/>
          </w:tcPr>
          <w:p w:rsidR="0037470F" w:rsidRPr="00F73EEB" w:rsidRDefault="0037470F" w:rsidP="00735CAB">
            <w:pPr>
              <w:spacing w:line="240" w:lineRule="auto"/>
              <w:jc w:val="right"/>
              <w:rPr>
                <w:bCs/>
                <w:sz w:val="19"/>
                <w:szCs w:val="19"/>
                <w:lang w:val="en-IN" w:eastAsia="en-IN"/>
              </w:rPr>
            </w:pPr>
          </w:p>
        </w:tc>
        <w:tc>
          <w:tcPr>
            <w:tcW w:w="280" w:type="pct"/>
            <w:vMerge/>
            <w:shd w:val="clear" w:color="auto" w:fill="auto"/>
            <w:vAlign w:val="center"/>
          </w:tcPr>
          <w:p w:rsidR="0037470F" w:rsidRPr="00F73EEB" w:rsidRDefault="0037470F" w:rsidP="00735CAB">
            <w:pPr>
              <w:spacing w:line="240" w:lineRule="auto"/>
              <w:jc w:val="right"/>
              <w:rPr>
                <w:bCs/>
                <w:sz w:val="19"/>
                <w:szCs w:val="19"/>
                <w:lang w:val="en-IN" w:eastAsia="en-IN"/>
              </w:rPr>
            </w:pPr>
          </w:p>
        </w:tc>
        <w:tc>
          <w:tcPr>
            <w:tcW w:w="282" w:type="pct"/>
            <w:vMerge/>
            <w:shd w:val="clear" w:color="auto" w:fill="auto"/>
            <w:vAlign w:val="center"/>
          </w:tcPr>
          <w:p w:rsidR="0037470F" w:rsidRPr="00F73EEB" w:rsidRDefault="0037470F" w:rsidP="00735CAB">
            <w:pPr>
              <w:spacing w:line="240" w:lineRule="auto"/>
              <w:jc w:val="right"/>
              <w:rPr>
                <w:bCs/>
                <w:sz w:val="19"/>
                <w:szCs w:val="19"/>
                <w:lang w:val="en-IN" w:eastAsia="en-IN"/>
              </w:rPr>
            </w:pPr>
          </w:p>
        </w:tc>
        <w:tc>
          <w:tcPr>
            <w:tcW w:w="272" w:type="pct"/>
            <w:vMerge/>
            <w:shd w:val="clear" w:color="auto" w:fill="auto"/>
            <w:vAlign w:val="center"/>
          </w:tcPr>
          <w:p w:rsidR="0037470F" w:rsidRPr="00F73EEB" w:rsidRDefault="0037470F" w:rsidP="00735CAB">
            <w:pPr>
              <w:spacing w:line="240" w:lineRule="auto"/>
              <w:jc w:val="right"/>
              <w:rPr>
                <w:bCs/>
                <w:sz w:val="19"/>
                <w:szCs w:val="19"/>
                <w:lang w:val="en-IN" w:eastAsia="en-IN"/>
              </w:rPr>
            </w:pPr>
          </w:p>
        </w:tc>
      </w:tr>
      <w:tr w:rsidR="00C83EE1" w:rsidRPr="00F73EEB" w:rsidTr="00C83EE1">
        <w:trPr>
          <w:trHeight w:val="18"/>
          <w:jc w:val="center"/>
        </w:trPr>
        <w:tc>
          <w:tcPr>
            <w:tcW w:w="149" w:type="pct"/>
            <w:shd w:val="clear" w:color="auto" w:fill="auto"/>
            <w:hideMark/>
          </w:tcPr>
          <w:p w:rsidR="00F73EEB" w:rsidRPr="00F73EEB" w:rsidRDefault="00F73EEB" w:rsidP="00F73EEB">
            <w:pPr>
              <w:spacing w:line="240" w:lineRule="auto"/>
              <w:jc w:val="center"/>
              <w:rPr>
                <w:sz w:val="19"/>
                <w:szCs w:val="19"/>
                <w:lang w:val="en-IN" w:eastAsia="en-IN"/>
              </w:rPr>
            </w:pPr>
            <w:r w:rsidRPr="00F73EEB">
              <w:rPr>
                <w:sz w:val="19"/>
                <w:szCs w:val="19"/>
                <w:lang w:val="en-IN" w:eastAsia="en-IN"/>
              </w:rPr>
              <w:t> </w:t>
            </w:r>
          </w:p>
        </w:tc>
        <w:tc>
          <w:tcPr>
            <w:tcW w:w="461" w:type="pct"/>
            <w:shd w:val="clear" w:color="auto" w:fill="auto"/>
            <w:noWrap/>
            <w:vAlign w:val="bottom"/>
            <w:hideMark/>
          </w:tcPr>
          <w:p w:rsidR="00F73EEB" w:rsidRPr="00F73EEB" w:rsidRDefault="00F73EEB" w:rsidP="00F73EEB">
            <w:pPr>
              <w:spacing w:line="240" w:lineRule="auto"/>
              <w:jc w:val="left"/>
              <w:rPr>
                <w:sz w:val="19"/>
                <w:szCs w:val="19"/>
                <w:lang w:val="en-IN" w:eastAsia="en-IN"/>
              </w:rPr>
            </w:pPr>
            <w:r w:rsidRPr="00F73EEB">
              <w:rPr>
                <w:sz w:val="19"/>
                <w:szCs w:val="19"/>
                <w:lang w:val="en-IN" w:eastAsia="en-IN"/>
              </w:rPr>
              <w:t> </w:t>
            </w:r>
          </w:p>
        </w:tc>
        <w:tc>
          <w:tcPr>
            <w:tcW w:w="254"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310"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noWrap/>
            <w:vAlign w:val="center"/>
            <w:hideMark/>
          </w:tcPr>
          <w:p w:rsidR="00F73EEB" w:rsidRPr="00F73EEB" w:rsidRDefault="00F73EEB" w:rsidP="00735CAB">
            <w:pPr>
              <w:spacing w:line="240" w:lineRule="auto"/>
              <w:jc w:val="right"/>
              <w:rPr>
                <w:color w:val="000000"/>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308"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60"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5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p>
        </w:tc>
        <w:tc>
          <w:tcPr>
            <w:tcW w:w="280"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p>
        </w:tc>
        <w:tc>
          <w:tcPr>
            <w:tcW w:w="27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p>
        </w:tc>
      </w:tr>
      <w:tr w:rsidR="00C83EE1" w:rsidRPr="00F73EEB" w:rsidTr="00C83EE1">
        <w:trPr>
          <w:trHeight w:val="18"/>
          <w:jc w:val="center"/>
        </w:trPr>
        <w:tc>
          <w:tcPr>
            <w:tcW w:w="149" w:type="pct"/>
            <w:shd w:val="clear" w:color="auto" w:fill="auto"/>
            <w:hideMark/>
          </w:tcPr>
          <w:p w:rsidR="0037470F" w:rsidRPr="00F73EEB" w:rsidRDefault="0037470F" w:rsidP="0037470F">
            <w:pPr>
              <w:spacing w:line="240" w:lineRule="auto"/>
              <w:jc w:val="center"/>
              <w:rPr>
                <w:b/>
                <w:bCs/>
                <w:sz w:val="19"/>
                <w:szCs w:val="19"/>
                <w:lang w:val="en-IN" w:eastAsia="en-IN"/>
              </w:rPr>
            </w:pPr>
            <w:r w:rsidRPr="00F73EEB">
              <w:rPr>
                <w:b/>
                <w:bCs/>
                <w:sz w:val="19"/>
                <w:szCs w:val="19"/>
                <w:lang w:val="en-IN" w:eastAsia="en-IN"/>
              </w:rPr>
              <w:lastRenderedPageBreak/>
              <w:t>IV</w:t>
            </w:r>
          </w:p>
        </w:tc>
        <w:tc>
          <w:tcPr>
            <w:tcW w:w="461" w:type="pct"/>
            <w:shd w:val="clear" w:color="auto" w:fill="auto"/>
            <w:hideMark/>
          </w:tcPr>
          <w:p w:rsidR="0037470F" w:rsidRPr="00F73EEB" w:rsidRDefault="0037470F" w:rsidP="0037470F">
            <w:pPr>
              <w:spacing w:line="240" w:lineRule="auto"/>
              <w:jc w:val="left"/>
              <w:rPr>
                <w:b/>
                <w:bCs/>
                <w:i/>
                <w:iCs/>
                <w:sz w:val="19"/>
                <w:szCs w:val="19"/>
                <w:lang w:val="en-IN" w:eastAsia="en-IN"/>
              </w:rPr>
            </w:pPr>
            <w:r w:rsidRPr="00F73EEB">
              <w:rPr>
                <w:b/>
                <w:bCs/>
                <w:i/>
                <w:iCs/>
                <w:sz w:val="19"/>
                <w:szCs w:val="19"/>
                <w:lang w:val="en-IN" w:eastAsia="en-IN"/>
              </w:rPr>
              <w:t>Others</w:t>
            </w:r>
          </w:p>
        </w:tc>
        <w:tc>
          <w:tcPr>
            <w:tcW w:w="254" w:type="pct"/>
            <w:shd w:val="clear" w:color="auto" w:fill="auto"/>
            <w:vAlign w:val="center"/>
            <w:hideMark/>
          </w:tcPr>
          <w:p w:rsidR="0037470F" w:rsidRPr="00F73EEB" w:rsidRDefault="0037470F" w:rsidP="00735CAB">
            <w:pPr>
              <w:spacing w:line="240" w:lineRule="auto"/>
              <w:jc w:val="right"/>
              <w:rPr>
                <w:b/>
                <w:bCs/>
                <w:sz w:val="19"/>
                <w:szCs w:val="19"/>
                <w:lang w:val="en-IN" w:eastAsia="en-IN"/>
              </w:rPr>
            </w:pPr>
            <w:r w:rsidRPr="00F73EEB">
              <w:rPr>
                <w:b/>
                <w:bCs/>
                <w:sz w:val="19"/>
                <w:szCs w:val="19"/>
                <w:lang w:val="en-IN" w:eastAsia="en-IN"/>
              </w:rPr>
              <w:t>307.08</w:t>
            </w:r>
          </w:p>
        </w:tc>
        <w:tc>
          <w:tcPr>
            <w:tcW w:w="282" w:type="pct"/>
            <w:shd w:val="clear" w:color="auto" w:fill="auto"/>
            <w:vAlign w:val="center"/>
            <w:hideMark/>
          </w:tcPr>
          <w:p w:rsidR="0037470F" w:rsidRPr="00F73EEB" w:rsidRDefault="0037470F" w:rsidP="00735CAB">
            <w:pPr>
              <w:spacing w:line="240" w:lineRule="auto"/>
              <w:jc w:val="right"/>
              <w:rPr>
                <w:b/>
                <w:bCs/>
                <w:sz w:val="19"/>
                <w:szCs w:val="19"/>
                <w:lang w:val="en-IN" w:eastAsia="en-IN"/>
              </w:rPr>
            </w:pPr>
            <w:r w:rsidRPr="00F73EEB">
              <w:rPr>
                <w:b/>
                <w:bCs/>
                <w:sz w:val="19"/>
                <w:szCs w:val="19"/>
                <w:lang w:val="en-IN" w:eastAsia="en-IN"/>
              </w:rPr>
              <w:t>269.90</w:t>
            </w:r>
          </w:p>
        </w:tc>
        <w:tc>
          <w:tcPr>
            <w:tcW w:w="310" w:type="pct"/>
            <w:shd w:val="clear" w:color="auto" w:fill="auto"/>
            <w:vAlign w:val="center"/>
            <w:hideMark/>
          </w:tcPr>
          <w:p w:rsidR="0037470F" w:rsidRPr="00F73EEB" w:rsidRDefault="0037470F" w:rsidP="00735CAB">
            <w:pPr>
              <w:spacing w:line="240" w:lineRule="auto"/>
              <w:jc w:val="right"/>
              <w:rPr>
                <w:b/>
                <w:bCs/>
                <w:sz w:val="19"/>
                <w:szCs w:val="19"/>
                <w:lang w:val="en-IN" w:eastAsia="en-IN"/>
              </w:rPr>
            </w:pPr>
            <w:r w:rsidRPr="00F73EEB">
              <w:rPr>
                <w:b/>
                <w:bCs/>
                <w:sz w:val="19"/>
                <w:szCs w:val="19"/>
                <w:lang w:val="en-IN" w:eastAsia="en-IN"/>
              </w:rPr>
              <w:t>382.72</w:t>
            </w:r>
          </w:p>
        </w:tc>
        <w:tc>
          <w:tcPr>
            <w:tcW w:w="282" w:type="pct"/>
            <w:shd w:val="clear" w:color="auto" w:fill="auto"/>
            <w:vAlign w:val="center"/>
            <w:hideMark/>
          </w:tcPr>
          <w:p w:rsidR="0037470F" w:rsidRPr="00F73EEB" w:rsidRDefault="0037470F" w:rsidP="00735CAB">
            <w:pPr>
              <w:spacing w:line="240" w:lineRule="auto"/>
              <w:jc w:val="right"/>
              <w:rPr>
                <w:b/>
                <w:bCs/>
                <w:sz w:val="19"/>
                <w:szCs w:val="19"/>
                <w:lang w:val="en-IN" w:eastAsia="en-IN"/>
              </w:rPr>
            </w:pPr>
            <w:r w:rsidRPr="00F73EEB">
              <w:rPr>
                <w:b/>
                <w:bCs/>
                <w:sz w:val="19"/>
                <w:szCs w:val="19"/>
                <w:lang w:val="en-IN" w:eastAsia="en-IN"/>
              </w:rPr>
              <w:t>382.72</w:t>
            </w:r>
          </w:p>
        </w:tc>
        <w:tc>
          <w:tcPr>
            <w:tcW w:w="282" w:type="pct"/>
            <w:shd w:val="clear" w:color="auto" w:fill="auto"/>
            <w:hideMark/>
          </w:tcPr>
          <w:p w:rsidR="0037470F" w:rsidRPr="0037470F" w:rsidRDefault="0037470F" w:rsidP="00735CAB">
            <w:pPr>
              <w:spacing w:line="240" w:lineRule="auto"/>
              <w:jc w:val="right"/>
              <w:rPr>
                <w:b/>
                <w:bCs/>
                <w:sz w:val="19"/>
                <w:szCs w:val="19"/>
                <w:lang w:val="en-IN" w:eastAsia="en-IN"/>
              </w:rPr>
            </w:pPr>
            <w:r w:rsidRPr="0037470F">
              <w:rPr>
                <w:b/>
                <w:bCs/>
                <w:sz w:val="19"/>
                <w:szCs w:val="19"/>
                <w:lang w:val="en-IN" w:eastAsia="en-IN"/>
              </w:rPr>
              <w:t xml:space="preserve"> 132.31 </w:t>
            </w:r>
          </w:p>
        </w:tc>
        <w:tc>
          <w:tcPr>
            <w:tcW w:w="254" w:type="pct"/>
            <w:shd w:val="clear" w:color="auto" w:fill="auto"/>
            <w:hideMark/>
          </w:tcPr>
          <w:p w:rsidR="0037470F" w:rsidRPr="0037470F" w:rsidRDefault="0037470F" w:rsidP="00735CAB">
            <w:pPr>
              <w:spacing w:line="240" w:lineRule="auto"/>
              <w:jc w:val="right"/>
              <w:rPr>
                <w:b/>
                <w:bCs/>
                <w:sz w:val="19"/>
                <w:szCs w:val="19"/>
                <w:lang w:val="en-IN" w:eastAsia="en-IN"/>
              </w:rPr>
            </w:pPr>
            <w:r w:rsidRPr="0037470F">
              <w:rPr>
                <w:b/>
                <w:bCs/>
                <w:sz w:val="19"/>
                <w:szCs w:val="19"/>
                <w:lang w:val="en-IN" w:eastAsia="en-IN"/>
              </w:rPr>
              <w:t xml:space="preserve"> 83.30 </w:t>
            </w:r>
          </w:p>
        </w:tc>
        <w:tc>
          <w:tcPr>
            <w:tcW w:w="282" w:type="pct"/>
            <w:shd w:val="clear" w:color="auto" w:fill="auto"/>
            <w:hideMark/>
          </w:tcPr>
          <w:p w:rsidR="0037470F" w:rsidRPr="0037470F" w:rsidRDefault="0037470F" w:rsidP="00735CAB">
            <w:pPr>
              <w:spacing w:line="240" w:lineRule="auto"/>
              <w:jc w:val="right"/>
              <w:rPr>
                <w:b/>
                <w:bCs/>
                <w:sz w:val="19"/>
                <w:szCs w:val="19"/>
                <w:lang w:val="en-IN" w:eastAsia="en-IN"/>
              </w:rPr>
            </w:pPr>
            <w:r w:rsidRPr="0037470F">
              <w:rPr>
                <w:b/>
                <w:bCs/>
                <w:sz w:val="19"/>
                <w:szCs w:val="19"/>
                <w:lang w:val="en-IN" w:eastAsia="en-IN"/>
              </w:rPr>
              <w:t xml:space="preserve"> 86.63 </w:t>
            </w:r>
          </w:p>
        </w:tc>
        <w:tc>
          <w:tcPr>
            <w:tcW w:w="308" w:type="pct"/>
            <w:shd w:val="clear" w:color="auto" w:fill="auto"/>
            <w:hideMark/>
          </w:tcPr>
          <w:p w:rsidR="0037470F" w:rsidRPr="0037470F" w:rsidRDefault="0037470F" w:rsidP="00735CAB">
            <w:pPr>
              <w:spacing w:line="240" w:lineRule="auto"/>
              <w:jc w:val="right"/>
              <w:rPr>
                <w:b/>
                <w:bCs/>
                <w:sz w:val="19"/>
                <w:szCs w:val="19"/>
                <w:lang w:val="en-IN" w:eastAsia="en-IN"/>
              </w:rPr>
            </w:pPr>
            <w:r w:rsidRPr="0037470F">
              <w:rPr>
                <w:b/>
                <w:bCs/>
                <w:sz w:val="19"/>
                <w:szCs w:val="19"/>
                <w:lang w:val="en-IN" w:eastAsia="en-IN"/>
              </w:rPr>
              <w:t xml:space="preserve"> 90.10 </w:t>
            </w:r>
          </w:p>
        </w:tc>
        <w:tc>
          <w:tcPr>
            <w:tcW w:w="260" w:type="pct"/>
            <w:shd w:val="clear" w:color="auto" w:fill="auto"/>
            <w:hideMark/>
          </w:tcPr>
          <w:p w:rsidR="0037470F" w:rsidRPr="0037470F" w:rsidRDefault="0037470F" w:rsidP="00735CAB">
            <w:pPr>
              <w:spacing w:line="240" w:lineRule="auto"/>
              <w:jc w:val="right"/>
              <w:rPr>
                <w:b/>
                <w:bCs/>
                <w:sz w:val="19"/>
                <w:szCs w:val="19"/>
                <w:lang w:val="en-IN" w:eastAsia="en-IN"/>
              </w:rPr>
            </w:pPr>
            <w:r w:rsidRPr="0037470F">
              <w:rPr>
                <w:b/>
                <w:bCs/>
                <w:sz w:val="19"/>
                <w:szCs w:val="19"/>
                <w:lang w:val="en-IN" w:eastAsia="en-IN"/>
              </w:rPr>
              <w:t xml:space="preserve"> 23.16 </w:t>
            </w:r>
          </w:p>
        </w:tc>
        <w:tc>
          <w:tcPr>
            <w:tcW w:w="252" w:type="pct"/>
            <w:shd w:val="clear" w:color="auto" w:fill="auto"/>
            <w:hideMark/>
          </w:tcPr>
          <w:p w:rsidR="0037470F" w:rsidRPr="0037470F" w:rsidRDefault="0037470F" w:rsidP="00735CAB">
            <w:pPr>
              <w:spacing w:line="240" w:lineRule="auto"/>
              <w:jc w:val="right"/>
              <w:rPr>
                <w:b/>
                <w:bCs/>
                <w:sz w:val="19"/>
                <w:szCs w:val="19"/>
                <w:lang w:val="en-IN" w:eastAsia="en-IN"/>
              </w:rPr>
            </w:pPr>
            <w:r w:rsidRPr="0037470F">
              <w:rPr>
                <w:b/>
                <w:bCs/>
                <w:sz w:val="19"/>
                <w:szCs w:val="19"/>
                <w:lang w:val="en-IN" w:eastAsia="en-IN"/>
              </w:rPr>
              <w:t xml:space="preserve"> 24.09 </w:t>
            </w:r>
          </w:p>
        </w:tc>
        <w:tc>
          <w:tcPr>
            <w:tcW w:w="254" w:type="pct"/>
            <w:shd w:val="clear" w:color="auto" w:fill="auto"/>
            <w:hideMark/>
          </w:tcPr>
          <w:p w:rsidR="0037470F" w:rsidRPr="0037470F" w:rsidRDefault="0037470F" w:rsidP="00735CAB">
            <w:pPr>
              <w:spacing w:line="240" w:lineRule="auto"/>
              <w:jc w:val="right"/>
              <w:rPr>
                <w:b/>
                <w:bCs/>
                <w:sz w:val="19"/>
                <w:szCs w:val="19"/>
                <w:lang w:val="en-IN" w:eastAsia="en-IN"/>
              </w:rPr>
            </w:pPr>
            <w:r w:rsidRPr="0037470F">
              <w:rPr>
                <w:b/>
                <w:bCs/>
                <w:sz w:val="19"/>
                <w:szCs w:val="19"/>
                <w:lang w:val="en-IN" w:eastAsia="en-IN"/>
              </w:rPr>
              <w:t xml:space="preserve"> 25.05 </w:t>
            </w:r>
          </w:p>
        </w:tc>
        <w:tc>
          <w:tcPr>
            <w:tcW w:w="254" w:type="pct"/>
            <w:shd w:val="clear" w:color="auto" w:fill="auto"/>
            <w:hideMark/>
          </w:tcPr>
          <w:p w:rsidR="0037470F" w:rsidRPr="0037470F" w:rsidRDefault="0037470F" w:rsidP="00735CAB">
            <w:pPr>
              <w:spacing w:line="240" w:lineRule="auto"/>
              <w:jc w:val="right"/>
              <w:rPr>
                <w:b/>
                <w:bCs/>
                <w:sz w:val="19"/>
                <w:szCs w:val="19"/>
                <w:lang w:val="en-IN" w:eastAsia="en-IN"/>
              </w:rPr>
            </w:pPr>
            <w:r w:rsidRPr="0037470F">
              <w:rPr>
                <w:b/>
                <w:bCs/>
                <w:sz w:val="19"/>
                <w:szCs w:val="19"/>
                <w:lang w:val="en-IN" w:eastAsia="en-IN"/>
              </w:rPr>
              <w:t xml:space="preserve"> 26.05 </w:t>
            </w:r>
          </w:p>
        </w:tc>
        <w:tc>
          <w:tcPr>
            <w:tcW w:w="282" w:type="pct"/>
            <w:shd w:val="clear" w:color="auto" w:fill="auto"/>
            <w:hideMark/>
          </w:tcPr>
          <w:p w:rsidR="0037470F" w:rsidRPr="0037470F" w:rsidRDefault="0037470F" w:rsidP="00735CAB">
            <w:pPr>
              <w:spacing w:line="240" w:lineRule="auto"/>
              <w:jc w:val="right"/>
              <w:rPr>
                <w:b/>
                <w:bCs/>
                <w:sz w:val="19"/>
                <w:szCs w:val="19"/>
                <w:lang w:val="en-IN" w:eastAsia="en-IN"/>
              </w:rPr>
            </w:pPr>
            <w:r w:rsidRPr="0037470F">
              <w:rPr>
                <w:b/>
                <w:bCs/>
                <w:sz w:val="19"/>
                <w:szCs w:val="19"/>
                <w:lang w:val="en-IN" w:eastAsia="en-IN"/>
              </w:rPr>
              <w:t xml:space="preserve"> 155.47 </w:t>
            </w:r>
          </w:p>
        </w:tc>
        <w:tc>
          <w:tcPr>
            <w:tcW w:w="280" w:type="pct"/>
            <w:shd w:val="clear" w:color="auto" w:fill="auto"/>
            <w:hideMark/>
          </w:tcPr>
          <w:p w:rsidR="0037470F" w:rsidRPr="0037470F" w:rsidRDefault="0037470F" w:rsidP="00735CAB">
            <w:pPr>
              <w:spacing w:line="240" w:lineRule="auto"/>
              <w:jc w:val="right"/>
              <w:rPr>
                <w:b/>
                <w:bCs/>
                <w:sz w:val="19"/>
                <w:szCs w:val="19"/>
                <w:lang w:val="en-IN" w:eastAsia="en-IN"/>
              </w:rPr>
            </w:pPr>
            <w:r w:rsidRPr="0037470F">
              <w:rPr>
                <w:b/>
                <w:bCs/>
                <w:sz w:val="19"/>
                <w:szCs w:val="19"/>
                <w:lang w:val="en-IN" w:eastAsia="en-IN"/>
              </w:rPr>
              <w:t xml:space="preserve"> 146.87 </w:t>
            </w:r>
          </w:p>
        </w:tc>
        <w:tc>
          <w:tcPr>
            <w:tcW w:w="282" w:type="pct"/>
            <w:shd w:val="clear" w:color="auto" w:fill="auto"/>
            <w:hideMark/>
          </w:tcPr>
          <w:p w:rsidR="0037470F" w:rsidRPr="0037470F" w:rsidRDefault="0037470F" w:rsidP="00735CAB">
            <w:pPr>
              <w:spacing w:line="240" w:lineRule="auto"/>
              <w:jc w:val="right"/>
              <w:rPr>
                <w:b/>
                <w:bCs/>
                <w:sz w:val="19"/>
                <w:szCs w:val="19"/>
                <w:lang w:val="en-IN" w:eastAsia="en-IN"/>
              </w:rPr>
            </w:pPr>
            <w:r w:rsidRPr="0037470F">
              <w:rPr>
                <w:b/>
                <w:bCs/>
                <w:sz w:val="19"/>
                <w:szCs w:val="19"/>
                <w:lang w:val="en-IN" w:eastAsia="en-IN"/>
              </w:rPr>
              <w:t xml:space="preserve"> 190.66 </w:t>
            </w:r>
          </w:p>
        </w:tc>
        <w:tc>
          <w:tcPr>
            <w:tcW w:w="272" w:type="pct"/>
            <w:shd w:val="clear" w:color="auto" w:fill="auto"/>
            <w:hideMark/>
          </w:tcPr>
          <w:p w:rsidR="0037470F" w:rsidRPr="0037470F" w:rsidRDefault="0037470F" w:rsidP="00735CAB">
            <w:pPr>
              <w:spacing w:line="240" w:lineRule="auto"/>
              <w:jc w:val="right"/>
              <w:rPr>
                <w:b/>
                <w:bCs/>
                <w:sz w:val="19"/>
                <w:szCs w:val="19"/>
                <w:lang w:val="en-IN" w:eastAsia="en-IN"/>
              </w:rPr>
            </w:pPr>
            <w:r w:rsidRPr="0037470F">
              <w:rPr>
                <w:b/>
                <w:bCs/>
                <w:sz w:val="19"/>
                <w:szCs w:val="19"/>
                <w:lang w:val="en-IN" w:eastAsia="en-IN"/>
              </w:rPr>
              <w:t xml:space="preserve"> 195.12 </w:t>
            </w:r>
          </w:p>
        </w:tc>
      </w:tr>
      <w:tr w:rsidR="00C83EE1" w:rsidRPr="00F73EEB" w:rsidTr="00C83EE1">
        <w:trPr>
          <w:trHeight w:val="18"/>
          <w:jc w:val="center"/>
        </w:trPr>
        <w:tc>
          <w:tcPr>
            <w:tcW w:w="149" w:type="pct"/>
            <w:shd w:val="clear" w:color="auto" w:fill="auto"/>
            <w:hideMark/>
          </w:tcPr>
          <w:p w:rsidR="00F73EEB" w:rsidRPr="00F73EEB" w:rsidRDefault="00F73EEB" w:rsidP="00F73EEB">
            <w:pPr>
              <w:spacing w:line="240" w:lineRule="auto"/>
              <w:jc w:val="center"/>
              <w:rPr>
                <w:sz w:val="19"/>
                <w:szCs w:val="19"/>
                <w:lang w:val="en-IN" w:eastAsia="en-IN"/>
              </w:rPr>
            </w:pPr>
            <w:r w:rsidRPr="00F73EEB">
              <w:rPr>
                <w:sz w:val="19"/>
                <w:szCs w:val="19"/>
                <w:lang w:val="en-IN" w:eastAsia="en-IN"/>
              </w:rPr>
              <w:t> </w:t>
            </w:r>
          </w:p>
        </w:tc>
        <w:tc>
          <w:tcPr>
            <w:tcW w:w="461" w:type="pct"/>
            <w:shd w:val="clear" w:color="auto" w:fill="auto"/>
            <w:noWrap/>
            <w:vAlign w:val="bottom"/>
            <w:hideMark/>
          </w:tcPr>
          <w:p w:rsidR="00F73EEB" w:rsidRPr="00F73EEB" w:rsidRDefault="00F73EEB" w:rsidP="00F73EEB">
            <w:pPr>
              <w:spacing w:line="240" w:lineRule="auto"/>
              <w:jc w:val="left"/>
              <w:rPr>
                <w:sz w:val="19"/>
                <w:szCs w:val="19"/>
                <w:lang w:val="en-IN" w:eastAsia="en-IN"/>
              </w:rPr>
            </w:pPr>
            <w:r w:rsidRPr="00F73EEB">
              <w:rPr>
                <w:sz w:val="19"/>
                <w:szCs w:val="19"/>
                <w:lang w:val="en-IN" w:eastAsia="en-IN"/>
              </w:rPr>
              <w:t>TNEB (Karaikal)</w:t>
            </w:r>
          </w:p>
        </w:tc>
        <w:tc>
          <w:tcPr>
            <w:tcW w:w="254"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150.00</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w:t>
            </w:r>
          </w:p>
        </w:tc>
        <w:tc>
          <w:tcPr>
            <w:tcW w:w="310"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w:t>
            </w:r>
          </w:p>
        </w:tc>
        <w:tc>
          <w:tcPr>
            <w:tcW w:w="282" w:type="pct"/>
            <w:shd w:val="clear" w:color="auto" w:fill="auto"/>
            <w:noWrap/>
            <w:vAlign w:val="center"/>
            <w:hideMark/>
          </w:tcPr>
          <w:p w:rsidR="00F73EEB" w:rsidRPr="00F73EEB" w:rsidRDefault="00F73EEB" w:rsidP="00735CAB">
            <w:pPr>
              <w:spacing w:line="240" w:lineRule="auto"/>
              <w:jc w:val="right"/>
              <w:rPr>
                <w:color w:val="000000"/>
                <w:sz w:val="19"/>
                <w:szCs w:val="19"/>
                <w:lang w:val="en-IN" w:eastAsia="en-IN"/>
              </w:rPr>
            </w:pPr>
            <w:r w:rsidRPr="00F73EEB">
              <w:rPr>
                <w:color w:val="000000"/>
                <w:sz w:val="19"/>
                <w:szCs w:val="19"/>
                <w:lang w:val="en-IN" w:eastAsia="en-IN"/>
              </w:rPr>
              <w:t>52.21</w:t>
            </w:r>
          </w:p>
        </w:tc>
        <w:tc>
          <w:tcPr>
            <w:tcW w:w="254" w:type="pct"/>
            <w:shd w:val="clear" w:color="auto" w:fill="auto"/>
            <w:vAlign w:val="center"/>
            <w:hideMark/>
          </w:tcPr>
          <w:p w:rsidR="00F73EEB" w:rsidRPr="00F73EEB" w:rsidRDefault="0037470F" w:rsidP="00735CAB">
            <w:pPr>
              <w:spacing w:line="240" w:lineRule="auto"/>
              <w:jc w:val="right"/>
              <w:rPr>
                <w:sz w:val="19"/>
                <w:szCs w:val="19"/>
                <w:lang w:val="en-IN" w:eastAsia="en-IN"/>
              </w:rPr>
            </w:pPr>
            <w:r>
              <w:rPr>
                <w:sz w:val="19"/>
                <w:szCs w:val="19"/>
                <w:lang w:val="en-IN" w:eastAsia="en-IN"/>
              </w:rPr>
              <w:t>-</w:t>
            </w:r>
          </w:p>
        </w:tc>
        <w:tc>
          <w:tcPr>
            <w:tcW w:w="282" w:type="pct"/>
            <w:shd w:val="clear" w:color="auto" w:fill="auto"/>
            <w:vAlign w:val="center"/>
            <w:hideMark/>
          </w:tcPr>
          <w:p w:rsidR="00F73EEB" w:rsidRPr="00F73EEB" w:rsidRDefault="0037470F" w:rsidP="00735CAB">
            <w:pPr>
              <w:spacing w:line="240" w:lineRule="auto"/>
              <w:jc w:val="right"/>
              <w:rPr>
                <w:sz w:val="19"/>
                <w:szCs w:val="19"/>
                <w:lang w:val="en-IN" w:eastAsia="en-IN"/>
              </w:rPr>
            </w:pPr>
            <w:r>
              <w:rPr>
                <w:sz w:val="19"/>
                <w:szCs w:val="19"/>
                <w:lang w:val="en-IN" w:eastAsia="en-IN"/>
              </w:rPr>
              <w:t>-</w:t>
            </w:r>
          </w:p>
        </w:tc>
        <w:tc>
          <w:tcPr>
            <w:tcW w:w="308" w:type="pct"/>
            <w:shd w:val="clear" w:color="auto" w:fill="auto"/>
            <w:vAlign w:val="center"/>
            <w:hideMark/>
          </w:tcPr>
          <w:p w:rsidR="00F73EEB" w:rsidRPr="00F73EEB" w:rsidRDefault="0037470F" w:rsidP="00735CAB">
            <w:pPr>
              <w:spacing w:line="240" w:lineRule="auto"/>
              <w:jc w:val="right"/>
              <w:rPr>
                <w:sz w:val="19"/>
                <w:szCs w:val="19"/>
                <w:lang w:val="en-IN" w:eastAsia="en-IN"/>
              </w:rPr>
            </w:pPr>
            <w:r>
              <w:rPr>
                <w:sz w:val="19"/>
                <w:szCs w:val="19"/>
                <w:lang w:val="en-IN" w:eastAsia="en-IN"/>
              </w:rPr>
              <w:t>-</w:t>
            </w:r>
          </w:p>
        </w:tc>
        <w:tc>
          <w:tcPr>
            <w:tcW w:w="260"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w:t>
            </w:r>
          </w:p>
        </w:tc>
        <w:tc>
          <w:tcPr>
            <w:tcW w:w="25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w:t>
            </w: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w:t>
            </w: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w:t>
            </w:r>
          </w:p>
        </w:tc>
        <w:tc>
          <w:tcPr>
            <w:tcW w:w="282"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52.21</w:t>
            </w:r>
          </w:p>
        </w:tc>
        <w:tc>
          <w:tcPr>
            <w:tcW w:w="280" w:type="pct"/>
            <w:shd w:val="clear" w:color="auto" w:fill="auto"/>
            <w:vAlign w:val="center"/>
            <w:hideMark/>
          </w:tcPr>
          <w:p w:rsidR="00F73EEB" w:rsidRPr="00F73EEB" w:rsidRDefault="0037470F" w:rsidP="00735CAB">
            <w:pPr>
              <w:spacing w:line="240" w:lineRule="auto"/>
              <w:jc w:val="right"/>
              <w:rPr>
                <w:bCs/>
                <w:sz w:val="19"/>
                <w:szCs w:val="19"/>
                <w:lang w:val="en-IN" w:eastAsia="en-IN"/>
              </w:rPr>
            </w:pPr>
            <w:r>
              <w:rPr>
                <w:bCs/>
                <w:sz w:val="19"/>
                <w:szCs w:val="19"/>
                <w:lang w:val="en-IN" w:eastAsia="en-IN"/>
              </w:rPr>
              <w:t>-</w:t>
            </w:r>
          </w:p>
        </w:tc>
        <w:tc>
          <w:tcPr>
            <w:tcW w:w="282" w:type="pct"/>
            <w:shd w:val="clear" w:color="auto" w:fill="auto"/>
            <w:vAlign w:val="center"/>
            <w:hideMark/>
          </w:tcPr>
          <w:p w:rsidR="00F73EEB" w:rsidRPr="00F73EEB" w:rsidRDefault="0037470F" w:rsidP="00735CAB">
            <w:pPr>
              <w:spacing w:line="240" w:lineRule="auto"/>
              <w:jc w:val="right"/>
              <w:rPr>
                <w:bCs/>
                <w:sz w:val="19"/>
                <w:szCs w:val="19"/>
                <w:lang w:val="en-IN" w:eastAsia="en-IN"/>
              </w:rPr>
            </w:pPr>
            <w:r>
              <w:rPr>
                <w:bCs/>
                <w:sz w:val="19"/>
                <w:szCs w:val="19"/>
                <w:lang w:val="en-IN" w:eastAsia="en-IN"/>
              </w:rPr>
              <w:t>-</w:t>
            </w:r>
          </w:p>
        </w:tc>
        <w:tc>
          <w:tcPr>
            <w:tcW w:w="272" w:type="pct"/>
            <w:shd w:val="clear" w:color="auto" w:fill="auto"/>
            <w:vAlign w:val="center"/>
            <w:hideMark/>
          </w:tcPr>
          <w:p w:rsidR="00F73EEB" w:rsidRPr="00F73EEB" w:rsidRDefault="0037470F" w:rsidP="00735CAB">
            <w:pPr>
              <w:spacing w:line="240" w:lineRule="auto"/>
              <w:jc w:val="right"/>
              <w:rPr>
                <w:bCs/>
                <w:sz w:val="19"/>
                <w:szCs w:val="19"/>
                <w:lang w:val="en-IN" w:eastAsia="en-IN"/>
              </w:rPr>
            </w:pPr>
            <w:r>
              <w:rPr>
                <w:bCs/>
                <w:sz w:val="19"/>
                <w:szCs w:val="19"/>
                <w:lang w:val="en-IN" w:eastAsia="en-IN"/>
              </w:rPr>
              <w:t>-</w:t>
            </w:r>
          </w:p>
        </w:tc>
      </w:tr>
      <w:tr w:rsidR="00C83EE1" w:rsidRPr="00F73EEB" w:rsidTr="00C83EE1">
        <w:trPr>
          <w:trHeight w:val="18"/>
          <w:jc w:val="center"/>
        </w:trPr>
        <w:tc>
          <w:tcPr>
            <w:tcW w:w="149" w:type="pct"/>
            <w:shd w:val="clear" w:color="auto" w:fill="auto"/>
            <w:hideMark/>
          </w:tcPr>
          <w:p w:rsidR="00F73EEB" w:rsidRPr="00F73EEB" w:rsidRDefault="00F73EEB" w:rsidP="00F73EEB">
            <w:pPr>
              <w:spacing w:line="240" w:lineRule="auto"/>
              <w:jc w:val="center"/>
              <w:rPr>
                <w:sz w:val="19"/>
                <w:szCs w:val="19"/>
                <w:lang w:val="en-IN" w:eastAsia="en-IN"/>
              </w:rPr>
            </w:pPr>
            <w:r w:rsidRPr="00F73EEB">
              <w:rPr>
                <w:sz w:val="19"/>
                <w:szCs w:val="19"/>
                <w:lang w:val="en-IN" w:eastAsia="en-IN"/>
              </w:rPr>
              <w:t> </w:t>
            </w:r>
          </w:p>
        </w:tc>
        <w:tc>
          <w:tcPr>
            <w:tcW w:w="461" w:type="pct"/>
            <w:shd w:val="clear" w:color="auto" w:fill="auto"/>
            <w:noWrap/>
            <w:vAlign w:val="bottom"/>
            <w:hideMark/>
          </w:tcPr>
          <w:p w:rsidR="00F73EEB" w:rsidRPr="00F73EEB" w:rsidRDefault="00F73EEB" w:rsidP="00F73EEB">
            <w:pPr>
              <w:spacing w:line="240" w:lineRule="auto"/>
              <w:jc w:val="left"/>
              <w:rPr>
                <w:sz w:val="19"/>
                <w:szCs w:val="19"/>
                <w:lang w:val="en-IN" w:eastAsia="en-IN"/>
              </w:rPr>
            </w:pPr>
            <w:r w:rsidRPr="00F73EEB">
              <w:rPr>
                <w:sz w:val="19"/>
                <w:szCs w:val="19"/>
                <w:lang w:val="en-IN" w:eastAsia="en-IN"/>
              </w:rPr>
              <w:t>Vallur Thermal Project</w:t>
            </w:r>
          </w:p>
        </w:tc>
        <w:tc>
          <w:tcPr>
            <w:tcW w:w="254"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157.08</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157.08</w:t>
            </w:r>
          </w:p>
        </w:tc>
        <w:tc>
          <w:tcPr>
            <w:tcW w:w="310"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157.08</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157.08</w:t>
            </w:r>
          </w:p>
        </w:tc>
        <w:tc>
          <w:tcPr>
            <w:tcW w:w="282" w:type="pct"/>
            <w:shd w:val="clear" w:color="auto" w:fill="auto"/>
            <w:noWrap/>
            <w:vAlign w:val="center"/>
            <w:hideMark/>
          </w:tcPr>
          <w:p w:rsidR="00F73EEB" w:rsidRPr="00F73EEB" w:rsidRDefault="00F73EEB" w:rsidP="00735CAB">
            <w:pPr>
              <w:spacing w:line="240" w:lineRule="auto"/>
              <w:jc w:val="right"/>
              <w:rPr>
                <w:color w:val="000000"/>
                <w:sz w:val="19"/>
                <w:szCs w:val="19"/>
                <w:lang w:val="en-IN" w:eastAsia="en-IN"/>
              </w:rPr>
            </w:pPr>
            <w:r w:rsidRPr="00F73EEB">
              <w:rPr>
                <w:color w:val="000000"/>
                <w:sz w:val="19"/>
                <w:szCs w:val="19"/>
                <w:lang w:val="en-IN" w:eastAsia="en-IN"/>
              </w:rPr>
              <w:t>80.10</w:t>
            </w: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83.30</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86.63</w:t>
            </w:r>
          </w:p>
        </w:tc>
        <w:tc>
          <w:tcPr>
            <w:tcW w:w="308"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90.10</w:t>
            </w:r>
          </w:p>
        </w:tc>
        <w:tc>
          <w:tcPr>
            <w:tcW w:w="260"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23.16</w:t>
            </w:r>
          </w:p>
        </w:tc>
        <w:tc>
          <w:tcPr>
            <w:tcW w:w="25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24.09</w:t>
            </w: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25.05</w:t>
            </w: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26.05</w:t>
            </w:r>
          </w:p>
        </w:tc>
        <w:tc>
          <w:tcPr>
            <w:tcW w:w="282"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103.26</w:t>
            </w:r>
          </w:p>
        </w:tc>
        <w:tc>
          <w:tcPr>
            <w:tcW w:w="280"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107.39</w:t>
            </w:r>
          </w:p>
        </w:tc>
        <w:tc>
          <w:tcPr>
            <w:tcW w:w="282"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111.68</w:t>
            </w:r>
          </w:p>
        </w:tc>
        <w:tc>
          <w:tcPr>
            <w:tcW w:w="272"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116.15</w:t>
            </w:r>
          </w:p>
        </w:tc>
      </w:tr>
      <w:tr w:rsidR="00C83EE1" w:rsidRPr="00F73EEB" w:rsidTr="00C83EE1">
        <w:trPr>
          <w:trHeight w:val="18"/>
          <w:jc w:val="center"/>
        </w:trPr>
        <w:tc>
          <w:tcPr>
            <w:tcW w:w="149" w:type="pct"/>
            <w:shd w:val="clear" w:color="auto" w:fill="auto"/>
            <w:hideMark/>
          </w:tcPr>
          <w:p w:rsidR="00F73EEB" w:rsidRPr="00F73EEB" w:rsidRDefault="00F73EEB" w:rsidP="00F73EEB">
            <w:pPr>
              <w:spacing w:line="240" w:lineRule="auto"/>
              <w:jc w:val="center"/>
              <w:rPr>
                <w:sz w:val="19"/>
                <w:szCs w:val="19"/>
                <w:lang w:val="en-IN" w:eastAsia="en-IN"/>
              </w:rPr>
            </w:pPr>
            <w:r w:rsidRPr="00F73EEB">
              <w:rPr>
                <w:sz w:val="19"/>
                <w:szCs w:val="19"/>
                <w:lang w:val="en-IN" w:eastAsia="en-IN"/>
              </w:rPr>
              <w:t> </w:t>
            </w:r>
          </w:p>
        </w:tc>
        <w:tc>
          <w:tcPr>
            <w:tcW w:w="461" w:type="pct"/>
            <w:shd w:val="clear" w:color="auto" w:fill="auto"/>
            <w:noWrap/>
            <w:vAlign w:val="bottom"/>
            <w:hideMark/>
          </w:tcPr>
          <w:p w:rsidR="00F73EEB" w:rsidRPr="00F73EEB" w:rsidRDefault="00F73EEB" w:rsidP="00F73EEB">
            <w:pPr>
              <w:spacing w:line="240" w:lineRule="auto"/>
              <w:jc w:val="left"/>
              <w:rPr>
                <w:sz w:val="19"/>
                <w:szCs w:val="19"/>
                <w:lang w:val="en-IN" w:eastAsia="en-IN"/>
              </w:rPr>
            </w:pPr>
            <w:r w:rsidRPr="00F73EEB">
              <w:rPr>
                <w:sz w:val="19"/>
                <w:szCs w:val="19"/>
                <w:lang w:val="en-IN" w:eastAsia="en-IN"/>
              </w:rPr>
              <w:t>New NLC TS-I</w:t>
            </w:r>
          </w:p>
        </w:tc>
        <w:tc>
          <w:tcPr>
            <w:tcW w:w="254"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w:t>
            </w:r>
          </w:p>
        </w:tc>
        <w:tc>
          <w:tcPr>
            <w:tcW w:w="282" w:type="pct"/>
            <w:shd w:val="clear" w:color="auto" w:fill="auto"/>
            <w:vAlign w:val="center"/>
            <w:hideMark/>
          </w:tcPr>
          <w:p w:rsidR="00F73EEB" w:rsidRPr="00F73EEB" w:rsidRDefault="00F73EEB" w:rsidP="00735CAB">
            <w:pPr>
              <w:spacing w:line="240" w:lineRule="auto"/>
              <w:jc w:val="right"/>
              <w:rPr>
                <w:i/>
                <w:iCs/>
                <w:sz w:val="19"/>
                <w:szCs w:val="19"/>
                <w:lang w:val="en-IN" w:eastAsia="en-IN"/>
              </w:rPr>
            </w:pPr>
            <w:r w:rsidRPr="00F73EEB">
              <w:rPr>
                <w:i/>
                <w:iCs/>
                <w:sz w:val="19"/>
                <w:szCs w:val="19"/>
                <w:lang w:val="en-IN" w:eastAsia="en-IN"/>
              </w:rPr>
              <w:t>112.82</w:t>
            </w:r>
          </w:p>
        </w:tc>
        <w:tc>
          <w:tcPr>
            <w:tcW w:w="310"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225.64</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225.64</w:t>
            </w:r>
          </w:p>
        </w:tc>
        <w:tc>
          <w:tcPr>
            <w:tcW w:w="282" w:type="pct"/>
            <w:shd w:val="clear" w:color="auto" w:fill="auto"/>
            <w:noWrap/>
            <w:vAlign w:val="center"/>
            <w:hideMark/>
          </w:tcPr>
          <w:p w:rsidR="00F73EEB" w:rsidRPr="00F73EEB" w:rsidRDefault="00F73EEB" w:rsidP="00735CAB">
            <w:pPr>
              <w:spacing w:line="240" w:lineRule="auto"/>
              <w:jc w:val="right"/>
              <w:rPr>
                <w:color w:val="000000"/>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308"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60"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5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w:t>
            </w:r>
          </w:p>
        </w:tc>
        <w:tc>
          <w:tcPr>
            <w:tcW w:w="280"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39.49</w:t>
            </w:r>
          </w:p>
        </w:tc>
        <w:tc>
          <w:tcPr>
            <w:tcW w:w="282"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78.97</w:t>
            </w:r>
          </w:p>
        </w:tc>
        <w:tc>
          <w:tcPr>
            <w:tcW w:w="272"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78.97</w:t>
            </w:r>
          </w:p>
        </w:tc>
      </w:tr>
      <w:tr w:rsidR="00C83EE1" w:rsidRPr="00F73EEB" w:rsidTr="00C83EE1">
        <w:trPr>
          <w:trHeight w:val="18"/>
          <w:jc w:val="center"/>
        </w:trPr>
        <w:tc>
          <w:tcPr>
            <w:tcW w:w="149" w:type="pct"/>
            <w:shd w:val="clear" w:color="auto" w:fill="auto"/>
            <w:hideMark/>
          </w:tcPr>
          <w:p w:rsidR="00F73EEB" w:rsidRPr="00F73EEB" w:rsidRDefault="00F73EEB" w:rsidP="00F73EEB">
            <w:pPr>
              <w:spacing w:line="240" w:lineRule="auto"/>
              <w:jc w:val="center"/>
              <w:rPr>
                <w:sz w:val="19"/>
                <w:szCs w:val="19"/>
                <w:lang w:val="en-IN" w:eastAsia="en-IN"/>
              </w:rPr>
            </w:pPr>
            <w:r w:rsidRPr="00F73EEB">
              <w:rPr>
                <w:sz w:val="19"/>
                <w:szCs w:val="19"/>
                <w:lang w:val="en-IN" w:eastAsia="en-IN"/>
              </w:rPr>
              <w:t> </w:t>
            </w:r>
          </w:p>
        </w:tc>
        <w:tc>
          <w:tcPr>
            <w:tcW w:w="461" w:type="pct"/>
            <w:shd w:val="clear" w:color="auto" w:fill="auto"/>
            <w:noWrap/>
            <w:vAlign w:val="bottom"/>
            <w:hideMark/>
          </w:tcPr>
          <w:p w:rsidR="00F73EEB" w:rsidRPr="00F73EEB" w:rsidRDefault="00F73EEB" w:rsidP="00F73EEB">
            <w:pPr>
              <w:spacing w:line="240" w:lineRule="auto"/>
              <w:jc w:val="left"/>
              <w:rPr>
                <w:sz w:val="19"/>
                <w:szCs w:val="19"/>
                <w:lang w:val="en-IN" w:eastAsia="en-IN"/>
              </w:rPr>
            </w:pPr>
            <w:r w:rsidRPr="00F73EEB">
              <w:rPr>
                <w:sz w:val="19"/>
                <w:szCs w:val="19"/>
                <w:lang w:val="en-IN" w:eastAsia="en-IN"/>
              </w:rPr>
              <w:t> </w:t>
            </w:r>
          </w:p>
        </w:tc>
        <w:tc>
          <w:tcPr>
            <w:tcW w:w="254"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i/>
                <w:iCs/>
                <w:sz w:val="19"/>
                <w:szCs w:val="19"/>
                <w:lang w:val="en-IN" w:eastAsia="en-IN"/>
              </w:rPr>
            </w:pPr>
          </w:p>
        </w:tc>
        <w:tc>
          <w:tcPr>
            <w:tcW w:w="310"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noWrap/>
            <w:vAlign w:val="center"/>
            <w:hideMark/>
          </w:tcPr>
          <w:p w:rsidR="00F73EEB" w:rsidRPr="00F73EEB" w:rsidRDefault="00F73EEB" w:rsidP="00735CAB">
            <w:pPr>
              <w:spacing w:line="240" w:lineRule="auto"/>
              <w:jc w:val="right"/>
              <w:rPr>
                <w:color w:val="000000"/>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308"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60"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5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p>
        </w:tc>
        <w:tc>
          <w:tcPr>
            <w:tcW w:w="280"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p>
        </w:tc>
        <w:tc>
          <w:tcPr>
            <w:tcW w:w="27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p>
        </w:tc>
      </w:tr>
      <w:tr w:rsidR="00C83EE1" w:rsidRPr="00F73EEB" w:rsidTr="00C83EE1">
        <w:trPr>
          <w:trHeight w:val="18"/>
          <w:jc w:val="center"/>
        </w:trPr>
        <w:tc>
          <w:tcPr>
            <w:tcW w:w="149" w:type="pct"/>
            <w:shd w:val="clear" w:color="auto" w:fill="auto"/>
            <w:hideMark/>
          </w:tcPr>
          <w:p w:rsidR="00F73EEB" w:rsidRPr="00F73EEB" w:rsidRDefault="00F73EEB" w:rsidP="00F73EEB">
            <w:pPr>
              <w:spacing w:line="240" w:lineRule="auto"/>
              <w:jc w:val="center"/>
              <w:rPr>
                <w:b/>
                <w:bCs/>
                <w:sz w:val="19"/>
                <w:szCs w:val="19"/>
                <w:lang w:val="en-IN" w:eastAsia="en-IN"/>
              </w:rPr>
            </w:pPr>
            <w:r w:rsidRPr="00F73EEB">
              <w:rPr>
                <w:b/>
                <w:bCs/>
                <w:sz w:val="19"/>
                <w:szCs w:val="19"/>
                <w:lang w:val="en-IN" w:eastAsia="en-IN"/>
              </w:rPr>
              <w:t>V</w:t>
            </w:r>
          </w:p>
        </w:tc>
        <w:tc>
          <w:tcPr>
            <w:tcW w:w="461" w:type="pct"/>
            <w:shd w:val="clear" w:color="auto" w:fill="auto"/>
            <w:hideMark/>
          </w:tcPr>
          <w:p w:rsidR="00F73EEB" w:rsidRPr="00F73EEB" w:rsidRDefault="00F73EEB" w:rsidP="00F73EEB">
            <w:pPr>
              <w:spacing w:line="240" w:lineRule="auto"/>
              <w:jc w:val="left"/>
              <w:rPr>
                <w:b/>
                <w:bCs/>
                <w:sz w:val="19"/>
                <w:szCs w:val="19"/>
                <w:lang w:val="en-IN" w:eastAsia="en-IN"/>
              </w:rPr>
            </w:pPr>
            <w:r w:rsidRPr="00F73EEB">
              <w:rPr>
                <w:b/>
                <w:bCs/>
                <w:sz w:val="19"/>
                <w:szCs w:val="19"/>
                <w:lang w:val="en-IN" w:eastAsia="en-IN"/>
              </w:rPr>
              <w:t>Renewable Sources</w:t>
            </w:r>
          </w:p>
        </w:tc>
        <w:tc>
          <w:tcPr>
            <w:tcW w:w="254"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w:t>
            </w:r>
          </w:p>
        </w:tc>
        <w:tc>
          <w:tcPr>
            <w:tcW w:w="28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71.61</w:t>
            </w:r>
          </w:p>
        </w:tc>
        <w:tc>
          <w:tcPr>
            <w:tcW w:w="310"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69.50</w:t>
            </w:r>
          </w:p>
        </w:tc>
        <w:tc>
          <w:tcPr>
            <w:tcW w:w="28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198.69</w:t>
            </w:r>
          </w:p>
        </w:tc>
        <w:tc>
          <w:tcPr>
            <w:tcW w:w="28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w:t>
            </w:r>
          </w:p>
        </w:tc>
        <w:tc>
          <w:tcPr>
            <w:tcW w:w="254"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21.48</w:t>
            </w:r>
          </w:p>
        </w:tc>
        <w:tc>
          <w:tcPr>
            <w:tcW w:w="28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20.85</w:t>
            </w:r>
          </w:p>
        </w:tc>
        <w:tc>
          <w:tcPr>
            <w:tcW w:w="308"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59.61</w:t>
            </w:r>
          </w:p>
        </w:tc>
        <w:tc>
          <w:tcPr>
            <w:tcW w:w="260"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26.65</w:t>
            </w:r>
          </w:p>
        </w:tc>
        <w:tc>
          <w:tcPr>
            <w:tcW w:w="25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27.18</w:t>
            </w:r>
          </w:p>
        </w:tc>
        <w:tc>
          <w:tcPr>
            <w:tcW w:w="254"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37.10</w:t>
            </w:r>
          </w:p>
        </w:tc>
        <w:tc>
          <w:tcPr>
            <w:tcW w:w="254"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34.10</w:t>
            </w:r>
          </w:p>
        </w:tc>
        <w:tc>
          <w:tcPr>
            <w:tcW w:w="28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26.65</w:t>
            </w:r>
          </w:p>
        </w:tc>
        <w:tc>
          <w:tcPr>
            <w:tcW w:w="280"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48.67</w:t>
            </w:r>
          </w:p>
        </w:tc>
        <w:tc>
          <w:tcPr>
            <w:tcW w:w="28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57.95</w:t>
            </w:r>
          </w:p>
        </w:tc>
        <w:tc>
          <w:tcPr>
            <w:tcW w:w="27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93.71</w:t>
            </w:r>
          </w:p>
        </w:tc>
      </w:tr>
      <w:tr w:rsidR="00C83EE1" w:rsidRPr="00F73EEB" w:rsidTr="00C83EE1">
        <w:trPr>
          <w:trHeight w:val="18"/>
          <w:jc w:val="center"/>
        </w:trPr>
        <w:tc>
          <w:tcPr>
            <w:tcW w:w="149" w:type="pct"/>
            <w:shd w:val="clear" w:color="auto" w:fill="auto"/>
            <w:hideMark/>
          </w:tcPr>
          <w:p w:rsidR="00F73EEB" w:rsidRPr="00F73EEB" w:rsidRDefault="00F73EEB" w:rsidP="00F73EEB">
            <w:pPr>
              <w:spacing w:line="240" w:lineRule="auto"/>
              <w:jc w:val="center"/>
              <w:rPr>
                <w:sz w:val="19"/>
                <w:szCs w:val="19"/>
                <w:lang w:val="en-IN" w:eastAsia="en-IN"/>
              </w:rPr>
            </w:pPr>
            <w:r w:rsidRPr="00F73EEB">
              <w:rPr>
                <w:sz w:val="19"/>
                <w:szCs w:val="19"/>
                <w:lang w:val="en-IN" w:eastAsia="en-IN"/>
              </w:rPr>
              <w:t> </w:t>
            </w:r>
          </w:p>
        </w:tc>
        <w:tc>
          <w:tcPr>
            <w:tcW w:w="461" w:type="pct"/>
            <w:shd w:val="clear" w:color="auto" w:fill="auto"/>
            <w:noWrap/>
            <w:vAlign w:val="bottom"/>
            <w:hideMark/>
          </w:tcPr>
          <w:p w:rsidR="00F73EEB" w:rsidRPr="00F73EEB" w:rsidRDefault="00F73EEB" w:rsidP="00F73EEB">
            <w:pPr>
              <w:spacing w:line="240" w:lineRule="auto"/>
              <w:jc w:val="left"/>
              <w:rPr>
                <w:sz w:val="19"/>
                <w:szCs w:val="19"/>
                <w:lang w:val="en-IN" w:eastAsia="en-IN"/>
              </w:rPr>
            </w:pPr>
            <w:r w:rsidRPr="00F73EEB">
              <w:rPr>
                <w:sz w:val="19"/>
                <w:szCs w:val="19"/>
                <w:lang w:val="en-IN" w:eastAsia="en-IN"/>
              </w:rPr>
              <w:t>Solar</w:t>
            </w: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71.61</w:t>
            </w:r>
          </w:p>
        </w:tc>
        <w:tc>
          <w:tcPr>
            <w:tcW w:w="310"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69.50</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100.00</w:t>
            </w:r>
          </w:p>
        </w:tc>
        <w:tc>
          <w:tcPr>
            <w:tcW w:w="282" w:type="pct"/>
            <w:shd w:val="clear" w:color="auto" w:fill="auto"/>
            <w:noWrap/>
            <w:vAlign w:val="center"/>
            <w:hideMark/>
          </w:tcPr>
          <w:p w:rsidR="00F73EEB" w:rsidRPr="00F73EEB" w:rsidRDefault="00F73EEB" w:rsidP="00735CAB">
            <w:pPr>
              <w:spacing w:line="240" w:lineRule="auto"/>
              <w:jc w:val="right"/>
              <w:rPr>
                <w:color w:val="000000"/>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21.48</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20.85</w:t>
            </w:r>
          </w:p>
        </w:tc>
        <w:tc>
          <w:tcPr>
            <w:tcW w:w="308"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30.00</w:t>
            </w:r>
          </w:p>
        </w:tc>
        <w:tc>
          <w:tcPr>
            <w:tcW w:w="260" w:type="pct"/>
            <w:shd w:val="clear" w:color="auto" w:fill="auto"/>
            <w:noWrap/>
            <w:vAlign w:val="center"/>
            <w:hideMark/>
          </w:tcPr>
          <w:p w:rsidR="00F73EEB" w:rsidRPr="00F73EEB" w:rsidRDefault="00F73EEB" w:rsidP="00735CAB">
            <w:pPr>
              <w:spacing w:line="240" w:lineRule="auto"/>
              <w:jc w:val="right"/>
              <w:rPr>
                <w:color w:val="000000"/>
                <w:sz w:val="19"/>
                <w:szCs w:val="19"/>
                <w:lang w:val="en-IN" w:eastAsia="en-IN"/>
              </w:rPr>
            </w:pPr>
          </w:p>
        </w:tc>
        <w:tc>
          <w:tcPr>
            <w:tcW w:w="252" w:type="pct"/>
            <w:shd w:val="clear" w:color="auto" w:fill="auto"/>
            <w:noWrap/>
            <w:vAlign w:val="center"/>
            <w:hideMark/>
          </w:tcPr>
          <w:p w:rsidR="00F73EEB" w:rsidRPr="00F73EEB" w:rsidRDefault="00F73EEB" w:rsidP="00735CAB">
            <w:pPr>
              <w:spacing w:line="240" w:lineRule="auto"/>
              <w:jc w:val="right"/>
              <w:rPr>
                <w:color w:val="000000"/>
                <w:sz w:val="19"/>
                <w:szCs w:val="19"/>
                <w:lang w:val="en-IN" w:eastAsia="en-IN"/>
              </w:rPr>
            </w:pPr>
          </w:p>
        </w:tc>
        <w:tc>
          <w:tcPr>
            <w:tcW w:w="254" w:type="pct"/>
            <w:shd w:val="clear" w:color="auto" w:fill="auto"/>
            <w:noWrap/>
            <w:vAlign w:val="center"/>
            <w:hideMark/>
          </w:tcPr>
          <w:p w:rsidR="00F73EEB" w:rsidRPr="00F73EEB" w:rsidRDefault="00F73EEB" w:rsidP="00735CAB">
            <w:pPr>
              <w:spacing w:line="240" w:lineRule="auto"/>
              <w:jc w:val="right"/>
              <w:rPr>
                <w:color w:val="000000"/>
                <w:sz w:val="19"/>
                <w:szCs w:val="19"/>
                <w:lang w:val="en-IN" w:eastAsia="en-IN"/>
              </w:rPr>
            </w:pPr>
          </w:p>
        </w:tc>
        <w:tc>
          <w:tcPr>
            <w:tcW w:w="254" w:type="pct"/>
            <w:shd w:val="clear" w:color="auto" w:fill="auto"/>
            <w:noWrap/>
            <w:vAlign w:val="center"/>
            <w:hideMark/>
          </w:tcPr>
          <w:p w:rsidR="00F73EEB" w:rsidRPr="00F73EEB" w:rsidRDefault="00F73EEB" w:rsidP="00735CAB">
            <w:pPr>
              <w:spacing w:line="240" w:lineRule="auto"/>
              <w:jc w:val="right"/>
              <w:rPr>
                <w:color w:val="000000"/>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w:t>
            </w:r>
          </w:p>
        </w:tc>
        <w:tc>
          <w:tcPr>
            <w:tcW w:w="280"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21.48</w:t>
            </w:r>
          </w:p>
        </w:tc>
        <w:tc>
          <w:tcPr>
            <w:tcW w:w="282"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20.85</w:t>
            </w:r>
          </w:p>
        </w:tc>
        <w:tc>
          <w:tcPr>
            <w:tcW w:w="272"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30.00</w:t>
            </w:r>
          </w:p>
        </w:tc>
      </w:tr>
      <w:tr w:rsidR="00C83EE1" w:rsidRPr="00F73EEB" w:rsidTr="00C83EE1">
        <w:trPr>
          <w:trHeight w:val="18"/>
          <w:jc w:val="center"/>
        </w:trPr>
        <w:tc>
          <w:tcPr>
            <w:tcW w:w="149" w:type="pct"/>
            <w:shd w:val="clear" w:color="auto" w:fill="auto"/>
            <w:hideMark/>
          </w:tcPr>
          <w:p w:rsidR="00F73EEB" w:rsidRPr="00F73EEB" w:rsidRDefault="00F73EEB" w:rsidP="00F73EEB">
            <w:pPr>
              <w:spacing w:line="240" w:lineRule="auto"/>
              <w:jc w:val="center"/>
              <w:rPr>
                <w:b/>
                <w:bCs/>
                <w:sz w:val="19"/>
                <w:szCs w:val="19"/>
                <w:lang w:val="en-IN" w:eastAsia="en-IN"/>
              </w:rPr>
            </w:pPr>
            <w:r w:rsidRPr="00F73EEB">
              <w:rPr>
                <w:b/>
                <w:bCs/>
                <w:sz w:val="19"/>
                <w:szCs w:val="19"/>
                <w:lang w:val="en-IN" w:eastAsia="en-IN"/>
              </w:rPr>
              <w:t> </w:t>
            </w:r>
          </w:p>
        </w:tc>
        <w:tc>
          <w:tcPr>
            <w:tcW w:w="461" w:type="pct"/>
            <w:shd w:val="clear" w:color="auto" w:fill="auto"/>
            <w:noWrap/>
            <w:vAlign w:val="bottom"/>
            <w:hideMark/>
          </w:tcPr>
          <w:p w:rsidR="00F73EEB" w:rsidRPr="00F73EEB" w:rsidRDefault="00F73EEB" w:rsidP="00F73EEB">
            <w:pPr>
              <w:spacing w:line="240" w:lineRule="auto"/>
              <w:jc w:val="left"/>
              <w:rPr>
                <w:sz w:val="19"/>
                <w:szCs w:val="19"/>
                <w:lang w:val="en-IN" w:eastAsia="en-IN"/>
              </w:rPr>
            </w:pPr>
            <w:r w:rsidRPr="00F73EEB">
              <w:rPr>
                <w:sz w:val="19"/>
                <w:szCs w:val="19"/>
                <w:lang w:val="en-IN" w:eastAsia="en-IN"/>
              </w:rPr>
              <w:t>Non-Solar</w:t>
            </w: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310"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98.69</w:t>
            </w:r>
          </w:p>
        </w:tc>
        <w:tc>
          <w:tcPr>
            <w:tcW w:w="282" w:type="pct"/>
            <w:shd w:val="clear" w:color="auto" w:fill="auto"/>
            <w:noWrap/>
            <w:vAlign w:val="center"/>
            <w:hideMark/>
          </w:tcPr>
          <w:p w:rsidR="00F73EEB" w:rsidRPr="00F73EEB" w:rsidRDefault="00F73EEB" w:rsidP="00735CAB">
            <w:pPr>
              <w:spacing w:line="240" w:lineRule="auto"/>
              <w:jc w:val="right"/>
              <w:rPr>
                <w:color w:val="000000"/>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308"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29.61</w:t>
            </w:r>
          </w:p>
        </w:tc>
        <w:tc>
          <w:tcPr>
            <w:tcW w:w="260"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5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w:t>
            </w:r>
          </w:p>
        </w:tc>
        <w:tc>
          <w:tcPr>
            <w:tcW w:w="280"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w:t>
            </w:r>
          </w:p>
        </w:tc>
        <w:tc>
          <w:tcPr>
            <w:tcW w:w="282"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w:t>
            </w:r>
          </w:p>
        </w:tc>
        <w:tc>
          <w:tcPr>
            <w:tcW w:w="272"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29.61</w:t>
            </w:r>
          </w:p>
        </w:tc>
      </w:tr>
      <w:tr w:rsidR="00C83EE1" w:rsidRPr="00F73EEB" w:rsidTr="00C83EE1">
        <w:trPr>
          <w:trHeight w:val="18"/>
          <w:jc w:val="center"/>
        </w:trPr>
        <w:tc>
          <w:tcPr>
            <w:tcW w:w="149" w:type="pct"/>
            <w:shd w:val="clear" w:color="auto" w:fill="auto"/>
            <w:hideMark/>
          </w:tcPr>
          <w:p w:rsidR="00A647D0" w:rsidRPr="00F73EEB" w:rsidRDefault="00A647D0" w:rsidP="00A647D0">
            <w:pPr>
              <w:spacing w:line="240" w:lineRule="auto"/>
              <w:jc w:val="center"/>
              <w:rPr>
                <w:b/>
                <w:bCs/>
                <w:sz w:val="19"/>
                <w:szCs w:val="19"/>
                <w:lang w:val="en-IN" w:eastAsia="en-IN"/>
              </w:rPr>
            </w:pPr>
            <w:r w:rsidRPr="00F73EEB">
              <w:rPr>
                <w:b/>
                <w:bCs/>
                <w:sz w:val="19"/>
                <w:szCs w:val="19"/>
                <w:lang w:val="en-IN" w:eastAsia="en-IN"/>
              </w:rPr>
              <w:t> </w:t>
            </w:r>
          </w:p>
        </w:tc>
        <w:tc>
          <w:tcPr>
            <w:tcW w:w="461" w:type="pct"/>
            <w:shd w:val="clear" w:color="auto" w:fill="auto"/>
            <w:noWrap/>
            <w:vAlign w:val="bottom"/>
            <w:hideMark/>
          </w:tcPr>
          <w:p w:rsidR="00A647D0" w:rsidRPr="00F73EEB" w:rsidRDefault="00A647D0" w:rsidP="00A647D0">
            <w:pPr>
              <w:spacing w:line="240" w:lineRule="auto"/>
              <w:jc w:val="left"/>
              <w:rPr>
                <w:sz w:val="19"/>
                <w:szCs w:val="19"/>
                <w:lang w:val="en-IN" w:eastAsia="en-IN"/>
              </w:rPr>
            </w:pPr>
            <w:r w:rsidRPr="00F73EEB">
              <w:rPr>
                <w:sz w:val="19"/>
                <w:szCs w:val="19"/>
                <w:lang w:val="en-IN" w:eastAsia="en-IN"/>
              </w:rPr>
              <w:t>RECs</w:t>
            </w:r>
          </w:p>
        </w:tc>
        <w:tc>
          <w:tcPr>
            <w:tcW w:w="254" w:type="pct"/>
            <w:shd w:val="clear" w:color="auto" w:fill="auto"/>
            <w:hideMark/>
          </w:tcPr>
          <w:p w:rsidR="00A647D0" w:rsidRDefault="00A647D0" w:rsidP="00735CAB">
            <w:pPr>
              <w:jc w:val="right"/>
            </w:pPr>
            <w:r w:rsidRPr="00F73EEB">
              <w:rPr>
                <w:sz w:val="19"/>
                <w:szCs w:val="19"/>
                <w:lang w:val="en-IN" w:eastAsia="en-IN"/>
              </w:rPr>
              <w:t>-</w:t>
            </w:r>
          </w:p>
        </w:tc>
        <w:tc>
          <w:tcPr>
            <w:tcW w:w="282" w:type="pct"/>
            <w:shd w:val="clear" w:color="auto" w:fill="auto"/>
            <w:hideMark/>
          </w:tcPr>
          <w:p w:rsidR="00A647D0" w:rsidRDefault="00A647D0" w:rsidP="00735CAB">
            <w:pPr>
              <w:jc w:val="right"/>
            </w:pPr>
            <w:r w:rsidRPr="00F73EEB">
              <w:rPr>
                <w:sz w:val="19"/>
                <w:szCs w:val="19"/>
                <w:lang w:val="en-IN" w:eastAsia="en-IN"/>
              </w:rPr>
              <w:t>-</w:t>
            </w:r>
          </w:p>
        </w:tc>
        <w:tc>
          <w:tcPr>
            <w:tcW w:w="310" w:type="pct"/>
            <w:shd w:val="clear" w:color="auto" w:fill="auto"/>
            <w:hideMark/>
          </w:tcPr>
          <w:p w:rsidR="00A647D0" w:rsidRDefault="00A647D0" w:rsidP="00735CAB">
            <w:pPr>
              <w:jc w:val="right"/>
            </w:pPr>
            <w:r w:rsidRPr="00F73EEB">
              <w:rPr>
                <w:sz w:val="19"/>
                <w:szCs w:val="19"/>
                <w:lang w:val="en-IN" w:eastAsia="en-IN"/>
              </w:rPr>
              <w:t>-</w:t>
            </w:r>
          </w:p>
        </w:tc>
        <w:tc>
          <w:tcPr>
            <w:tcW w:w="282" w:type="pct"/>
            <w:shd w:val="clear" w:color="auto" w:fill="auto"/>
            <w:hideMark/>
          </w:tcPr>
          <w:p w:rsidR="00A647D0" w:rsidRDefault="00A647D0" w:rsidP="00735CAB">
            <w:pPr>
              <w:jc w:val="right"/>
            </w:pPr>
            <w:r w:rsidRPr="00F73EEB">
              <w:rPr>
                <w:sz w:val="19"/>
                <w:szCs w:val="19"/>
                <w:lang w:val="en-IN" w:eastAsia="en-IN"/>
              </w:rPr>
              <w:t>-</w:t>
            </w:r>
          </w:p>
        </w:tc>
        <w:tc>
          <w:tcPr>
            <w:tcW w:w="282" w:type="pct"/>
            <w:shd w:val="clear" w:color="auto" w:fill="auto"/>
            <w:noWrap/>
            <w:hideMark/>
          </w:tcPr>
          <w:p w:rsidR="00A647D0" w:rsidRDefault="00A647D0" w:rsidP="00735CAB">
            <w:pPr>
              <w:jc w:val="right"/>
            </w:pPr>
            <w:r w:rsidRPr="00F73EEB">
              <w:rPr>
                <w:sz w:val="19"/>
                <w:szCs w:val="19"/>
                <w:lang w:val="en-IN" w:eastAsia="en-IN"/>
              </w:rPr>
              <w:t>-</w:t>
            </w:r>
          </w:p>
        </w:tc>
        <w:tc>
          <w:tcPr>
            <w:tcW w:w="254" w:type="pct"/>
            <w:shd w:val="clear" w:color="auto" w:fill="auto"/>
            <w:hideMark/>
          </w:tcPr>
          <w:p w:rsidR="00A647D0" w:rsidRDefault="00A647D0" w:rsidP="00735CAB">
            <w:pPr>
              <w:jc w:val="right"/>
            </w:pPr>
            <w:r w:rsidRPr="00F73EEB">
              <w:rPr>
                <w:sz w:val="19"/>
                <w:szCs w:val="19"/>
                <w:lang w:val="en-IN" w:eastAsia="en-IN"/>
              </w:rPr>
              <w:t>-</w:t>
            </w:r>
          </w:p>
        </w:tc>
        <w:tc>
          <w:tcPr>
            <w:tcW w:w="282" w:type="pct"/>
            <w:shd w:val="clear" w:color="auto" w:fill="auto"/>
            <w:hideMark/>
          </w:tcPr>
          <w:p w:rsidR="00A647D0" w:rsidRDefault="00A647D0" w:rsidP="00735CAB">
            <w:pPr>
              <w:jc w:val="right"/>
            </w:pPr>
            <w:r w:rsidRPr="00F73EEB">
              <w:rPr>
                <w:sz w:val="19"/>
                <w:szCs w:val="19"/>
                <w:lang w:val="en-IN" w:eastAsia="en-IN"/>
              </w:rPr>
              <w:t>-</w:t>
            </w:r>
          </w:p>
        </w:tc>
        <w:tc>
          <w:tcPr>
            <w:tcW w:w="308" w:type="pct"/>
            <w:shd w:val="clear" w:color="auto" w:fill="auto"/>
            <w:hideMark/>
          </w:tcPr>
          <w:p w:rsidR="00A647D0" w:rsidRDefault="00A647D0" w:rsidP="00735CAB">
            <w:pPr>
              <w:jc w:val="right"/>
            </w:pPr>
            <w:r w:rsidRPr="00F73EEB">
              <w:rPr>
                <w:sz w:val="19"/>
                <w:szCs w:val="19"/>
                <w:lang w:val="en-IN" w:eastAsia="en-IN"/>
              </w:rPr>
              <w:t>-</w:t>
            </w:r>
          </w:p>
        </w:tc>
        <w:tc>
          <w:tcPr>
            <w:tcW w:w="260" w:type="pct"/>
            <w:shd w:val="clear" w:color="auto" w:fill="auto"/>
            <w:vAlign w:val="center"/>
            <w:hideMark/>
          </w:tcPr>
          <w:p w:rsidR="00A647D0" w:rsidRPr="00F73EEB" w:rsidRDefault="00A647D0" w:rsidP="00735CAB">
            <w:pPr>
              <w:spacing w:line="240" w:lineRule="auto"/>
              <w:jc w:val="right"/>
              <w:rPr>
                <w:sz w:val="19"/>
                <w:szCs w:val="19"/>
                <w:lang w:val="en-IN" w:eastAsia="en-IN"/>
              </w:rPr>
            </w:pPr>
            <w:r w:rsidRPr="00F73EEB">
              <w:rPr>
                <w:sz w:val="19"/>
                <w:szCs w:val="19"/>
                <w:lang w:val="en-IN" w:eastAsia="en-IN"/>
              </w:rPr>
              <w:t>26.65</w:t>
            </w:r>
          </w:p>
        </w:tc>
        <w:tc>
          <w:tcPr>
            <w:tcW w:w="252" w:type="pct"/>
            <w:shd w:val="clear" w:color="auto" w:fill="auto"/>
            <w:vAlign w:val="center"/>
            <w:hideMark/>
          </w:tcPr>
          <w:p w:rsidR="00A647D0" w:rsidRPr="00F73EEB" w:rsidRDefault="00A647D0" w:rsidP="00735CAB">
            <w:pPr>
              <w:spacing w:line="240" w:lineRule="auto"/>
              <w:jc w:val="right"/>
              <w:rPr>
                <w:sz w:val="19"/>
                <w:szCs w:val="19"/>
                <w:lang w:val="en-IN" w:eastAsia="en-IN"/>
              </w:rPr>
            </w:pPr>
            <w:r w:rsidRPr="00F73EEB">
              <w:rPr>
                <w:sz w:val="19"/>
                <w:szCs w:val="19"/>
                <w:lang w:val="en-IN" w:eastAsia="en-IN"/>
              </w:rPr>
              <w:t>27.18</w:t>
            </w:r>
          </w:p>
        </w:tc>
        <w:tc>
          <w:tcPr>
            <w:tcW w:w="254" w:type="pct"/>
            <w:shd w:val="clear" w:color="auto" w:fill="auto"/>
            <w:vAlign w:val="center"/>
            <w:hideMark/>
          </w:tcPr>
          <w:p w:rsidR="00A647D0" w:rsidRPr="00F73EEB" w:rsidRDefault="00A647D0" w:rsidP="00735CAB">
            <w:pPr>
              <w:spacing w:line="240" w:lineRule="auto"/>
              <w:jc w:val="right"/>
              <w:rPr>
                <w:sz w:val="19"/>
                <w:szCs w:val="19"/>
                <w:lang w:val="en-IN" w:eastAsia="en-IN"/>
              </w:rPr>
            </w:pPr>
            <w:r w:rsidRPr="00F73EEB">
              <w:rPr>
                <w:sz w:val="19"/>
                <w:szCs w:val="19"/>
                <w:lang w:val="en-IN" w:eastAsia="en-IN"/>
              </w:rPr>
              <w:t>37.10</w:t>
            </w:r>
          </w:p>
        </w:tc>
        <w:tc>
          <w:tcPr>
            <w:tcW w:w="254" w:type="pct"/>
            <w:shd w:val="clear" w:color="auto" w:fill="auto"/>
            <w:vAlign w:val="center"/>
            <w:hideMark/>
          </w:tcPr>
          <w:p w:rsidR="00A647D0" w:rsidRPr="00F73EEB" w:rsidRDefault="00A647D0" w:rsidP="00735CAB">
            <w:pPr>
              <w:spacing w:line="240" w:lineRule="auto"/>
              <w:jc w:val="right"/>
              <w:rPr>
                <w:sz w:val="19"/>
                <w:szCs w:val="19"/>
                <w:lang w:val="en-IN" w:eastAsia="en-IN"/>
              </w:rPr>
            </w:pPr>
            <w:r w:rsidRPr="00F73EEB">
              <w:rPr>
                <w:sz w:val="19"/>
                <w:szCs w:val="19"/>
                <w:lang w:val="en-IN" w:eastAsia="en-IN"/>
              </w:rPr>
              <w:t>34.10</w:t>
            </w:r>
          </w:p>
        </w:tc>
        <w:tc>
          <w:tcPr>
            <w:tcW w:w="282" w:type="pct"/>
            <w:shd w:val="clear" w:color="auto" w:fill="auto"/>
            <w:vAlign w:val="center"/>
            <w:hideMark/>
          </w:tcPr>
          <w:p w:rsidR="00A647D0" w:rsidRPr="00F73EEB" w:rsidRDefault="00A647D0" w:rsidP="00735CAB">
            <w:pPr>
              <w:spacing w:line="240" w:lineRule="auto"/>
              <w:jc w:val="right"/>
              <w:rPr>
                <w:bCs/>
                <w:sz w:val="19"/>
                <w:szCs w:val="19"/>
                <w:lang w:val="en-IN" w:eastAsia="en-IN"/>
              </w:rPr>
            </w:pPr>
            <w:r w:rsidRPr="00F73EEB">
              <w:rPr>
                <w:bCs/>
                <w:sz w:val="19"/>
                <w:szCs w:val="19"/>
                <w:lang w:val="en-IN" w:eastAsia="en-IN"/>
              </w:rPr>
              <w:t>26.65</w:t>
            </w:r>
          </w:p>
        </w:tc>
        <w:tc>
          <w:tcPr>
            <w:tcW w:w="280" w:type="pct"/>
            <w:shd w:val="clear" w:color="auto" w:fill="auto"/>
            <w:vAlign w:val="center"/>
            <w:hideMark/>
          </w:tcPr>
          <w:p w:rsidR="00A647D0" w:rsidRPr="00F73EEB" w:rsidRDefault="00A647D0" w:rsidP="00735CAB">
            <w:pPr>
              <w:spacing w:line="240" w:lineRule="auto"/>
              <w:jc w:val="right"/>
              <w:rPr>
                <w:bCs/>
                <w:sz w:val="19"/>
                <w:szCs w:val="19"/>
                <w:lang w:val="en-IN" w:eastAsia="en-IN"/>
              </w:rPr>
            </w:pPr>
            <w:r w:rsidRPr="00F73EEB">
              <w:rPr>
                <w:bCs/>
                <w:sz w:val="19"/>
                <w:szCs w:val="19"/>
                <w:lang w:val="en-IN" w:eastAsia="en-IN"/>
              </w:rPr>
              <w:t>27.18</w:t>
            </w:r>
          </w:p>
        </w:tc>
        <w:tc>
          <w:tcPr>
            <w:tcW w:w="282" w:type="pct"/>
            <w:shd w:val="clear" w:color="auto" w:fill="auto"/>
            <w:vAlign w:val="center"/>
            <w:hideMark/>
          </w:tcPr>
          <w:p w:rsidR="00A647D0" w:rsidRPr="00F73EEB" w:rsidRDefault="00A647D0" w:rsidP="00735CAB">
            <w:pPr>
              <w:spacing w:line="240" w:lineRule="auto"/>
              <w:jc w:val="right"/>
              <w:rPr>
                <w:bCs/>
                <w:sz w:val="19"/>
                <w:szCs w:val="19"/>
                <w:lang w:val="en-IN" w:eastAsia="en-IN"/>
              </w:rPr>
            </w:pPr>
            <w:r w:rsidRPr="00F73EEB">
              <w:rPr>
                <w:bCs/>
                <w:sz w:val="19"/>
                <w:szCs w:val="19"/>
                <w:lang w:val="en-IN" w:eastAsia="en-IN"/>
              </w:rPr>
              <w:t>37.10</w:t>
            </w:r>
          </w:p>
        </w:tc>
        <w:tc>
          <w:tcPr>
            <w:tcW w:w="272" w:type="pct"/>
            <w:shd w:val="clear" w:color="auto" w:fill="auto"/>
            <w:vAlign w:val="center"/>
            <w:hideMark/>
          </w:tcPr>
          <w:p w:rsidR="00A647D0" w:rsidRPr="00F73EEB" w:rsidRDefault="00A647D0" w:rsidP="00735CAB">
            <w:pPr>
              <w:spacing w:line="240" w:lineRule="auto"/>
              <w:jc w:val="right"/>
              <w:rPr>
                <w:bCs/>
                <w:sz w:val="19"/>
                <w:szCs w:val="19"/>
                <w:lang w:val="en-IN" w:eastAsia="en-IN"/>
              </w:rPr>
            </w:pPr>
            <w:r w:rsidRPr="00F73EEB">
              <w:rPr>
                <w:bCs/>
                <w:sz w:val="19"/>
                <w:szCs w:val="19"/>
                <w:lang w:val="en-IN" w:eastAsia="en-IN"/>
              </w:rPr>
              <w:t>34.10</w:t>
            </w:r>
          </w:p>
        </w:tc>
      </w:tr>
      <w:tr w:rsidR="00C83EE1" w:rsidRPr="00F73EEB" w:rsidTr="00C83EE1">
        <w:trPr>
          <w:trHeight w:val="18"/>
          <w:jc w:val="center"/>
        </w:trPr>
        <w:tc>
          <w:tcPr>
            <w:tcW w:w="149" w:type="pct"/>
            <w:shd w:val="clear" w:color="auto" w:fill="auto"/>
            <w:hideMark/>
          </w:tcPr>
          <w:p w:rsidR="00F73EEB" w:rsidRPr="00F73EEB" w:rsidRDefault="00F73EEB" w:rsidP="00F73EEB">
            <w:pPr>
              <w:spacing w:line="240" w:lineRule="auto"/>
              <w:jc w:val="center"/>
              <w:rPr>
                <w:b/>
                <w:bCs/>
                <w:sz w:val="19"/>
                <w:szCs w:val="19"/>
                <w:lang w:val="en-IN" w:eastAsia="en-IN"/>
              </w:rPr>
            </w:pPr>
            <w:r w:rsidRPr="00F73EEB">
              <w:rPr>
                <w:b/>
                <w:bCs/>
                <w:sz w:val="19"/>
                <w:szCs w:val="19"/>
                <w:lang w:val="en-IN" w:eastAsia="en-IN"/>
              </w:rPr>
              <w:t> </w:t>
            </w:r>
          </w:p>
        </w:tc>
        <w:tc>
          <w:tcPr>
            <w:tcW w:w="461" w:type="pct"/>
            <w:shd w:val="clear" w:color="auto" w:fill="auto"/>
            <w:noWrap/>
            <w:vAlign w:val="bottom"/>
            <w:hideMark/>
          </w:tcPr>
          <w:p w:rsidR="00F73EEB" w:rsidRPr="00F73EEB" w:rsidRDefault="00F73EEB" w:rsidP="00F73EEB">
            <w:pPr>
              <w:spacing w:line="240" w:lineRule="auto"/>
              <w:jc w:val="left"/>
              <w:rPr>
                <w:sz w:val="19"/>
                <w:szCs w:val="19"/>
                <w:lang w:val="en-IN" w:eastAsia="en-IN"/>
              </w:rPr>
            </w:pPr>
            <w:r w:rsidRPr="00F73EEB">
              <w:rPr>
                <w:sz w:val="19"/>
                <w:szCs w:val="19"/>
                <w:lang w:val="en-IN" w:eastAsia="en-IN"/>
              </w:rPr>
              <w:t> </w:t>
            </w: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310"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noWrap/>
            <w:vAlign w:val="center"/>
            <w:hideMark/>
          </w:tcPr>
          <w:p w:rsidR="00F73EEB" w:rsidRPr="00F73EEB" w:rsidRDefault="00F73EEB" w:rsidP="00735CAB">
            <w:pPr>
              <w:spacing w:line="240" w:lineRule="auto"/>
              <w:jc w:val="right"/>
              <w:rPr>
                <w:color w:val="000000"/>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308"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60"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5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p>
        </w:tc>
        <w:tc>
          <w:tcPr>
            <w:tcW w:w="280"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p>
        </w:tc>
        <w:tc>
          <w:tcPr>
            <w:tcW w:w="27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p>
        </w:tc>
      </w:tr>
      <w:tr w:rsidR="00C83EE1" w:rsidRPr="00F73EEB" w:rsidTr="00C83EE1">
        <w:trPr>
          <w:trHeight w:val="18"/>
          <w:jc w:val="center"/>
        </w:trPr>
        <w:tc>
          <w:tcPr>
            <w:tcW w:w="149" w:type="pct"/>
            <w:shd w:val="clear" w:color="auto" w:fill="auto"/>
            <w:hideMark/>
          </w:tcPr>
          <w:p w:rsidR="00F73EEB" w:rsidRPr="00F73EEB" w:rsidRDefault="00F73EEB" w:rsidP="00F73EEB">
            <w:pPr>
              <w:spacing w:line="240" w:lineRule="auto"/>
              <w:jc w:val="center"/>
              <w:rPr>
                <w:b/>
                <w:bCs/>
                <w:sz w:val="19"/>
                <w:szCs w:val="19"/>
                <w:lang w:val="en-IN" w:eastAsia="en-IN"/>
              </w:rPr>
            </w:pPr>
            <w:r w:rsidRPr="00F73EEB">
              <w:rPr>
                <w:b/>
                <w:bCs/>
                <w:sz w:val="19"/>
                <w:szCs w:val="19"/>
                <w:lang w:val="en-IN" w:eastAsia="en-IN"/>
              </w:rPr>
              <w:t>B</w:t>
            </w:r>
          </w:p>
        </w:tc>
        <w:tc>
          <w:tcPr>
            <w:tcW w:w="461" w:type="pct"/>
            <w:shd w:val="clear" w:color="auto" w:fill="auto"/>
            <w:hideMark/>
          </w:tcPr>
          <w:p w:rsidR="00F73EEB" w:rsidRPr="00F73EEB" w:rsidRDefault="00F73EEB" w:rsidP="00F73EEB">
            <w:pPr>
              <w:spacing w:line="240" w:lineRule="auto"/>
              <w:jc w:val="left"/>
              <w:rPr>
                <w:b/>
                <w:bCs/>
                <w:sz w:val="19"/>
                <w:szCs w:val="19"/>
                <w:lang w:val="en-IN" w:eastAsia="en-IN"/>
              </w:rPr>
            </w:pPr>
            <w:r w:rsidRPr="00F73EEB">
              <w:rPr>
                <w:b/>
                <w:bCs/>
                <w:sz w:val="19"/>
                <w:szCs w:val="19"/>
                <w:lang w:val="en-IN" w:eastAsia="en-IN"/>
              </w:rPr>
              <w:t>Within State Generations</w:t>
            </w:r>
          </w:p>
        </w:tc>
        <w:tc>
          <w:tcPr>
            <w:tcW w:w="254"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216.37</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216.37</w:t>
            </w:r>
          </w:p>
        </w:tc>
        <w:tc>
          <w:tcPr>
            <w:tcW w:w="310"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216.37</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216.37</w:t>
            </w:r>
          </w:p>
        </w:tc>
        <w:tc>
          <w:tcPr>
            <w:tcW w:w="282" w:type="pct"/>
            <w:shd w:val="clear" w:color="auto" w:fill="auto"/>
            <w:noWrap/>
            <w:vAlign w:val="center"/>
            <w:hideMark/>
          </w:tcPr>
          <w:p w:rsidR="00F73EEB" w:rsidRPr="00F73EEB" w:rsidRDefault="00F73EEB" w:rsidP="00735CAB">
            <w:pPr>
              <w:spacing w:line="240" w:lineRule="auto"/>
              <w:jc w:val="right"/>
              <w:rPr>
                <w:color w:val="000000"/>
                <w:sz w:val="19"/>
                <w:szCs w:val="19"/>
                <w:lang w:val="en-IN" w:eastAsia="en-IN"/>
              </w:rPr>
            </w:pPr>
            <w:r w:rsidRPr="00F73EEB">
              <w:rPr>
                <w:color w:val="000000"/>
                <w:sz w:val="19"/>
                <w:szCs w:val="19"/>
                <w:lang w:val="en-IN" w:eastAsia="en-IN"/>
              </w:rPr>
              <w:t>51.50</w:t>
            </w: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53.56</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55.71</w:t>
            </w:r>
          </w:p>
        </w:tc>
        <w:tc>
          <w:tcPr>
            <w:tcW w:w="308"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57.93</w:t>
            </w:r>
          </w:p>
        </w:tc>
        <w:tc>
          <w:tcPr>
            <w:tcW w:w="260"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35.54</w:t>
            </w:r>
          </w:p>
        </w:tc>
        <w:tc>
          <w:tcPr>
            <w:tcW w:w="25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36.96</w:t>
            </w: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38.44</w:t>
            </w: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39.98</w:t>
            </w:r>
          </w:p>
        </w:tc>
        <w:tc>
          <w:tcPr>
            <w:tcW w:w="28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87.04</w:t>
            </w:r>
          </w:p>
        </w:tc>
        <w:tc>
          <w:tcPr>
            <w:tcW w:w="280"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90.53</w:t>
            </w:r>
          </w:p>
        </w:tc>
        <w:tc>
          <w:tcPr>
            <w:tcW w:w="28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94.15</w:t>
            </w:r>
          </w:p>
        </w:tc>
        <w:tc>
          <w:tcPr>
            <w:tcW w:w="27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97.91</w:t>
            </w:r>
          </w:p>
        </w:tc>
      </w:tr>
      <w:tr w:rsidR="00C83EE1" w:rsidRPr="00F73EEB" w:rsidTr="00C83EE1">
        <w:trPr>
          <w:trHeight w:val="18"/>
          <w:jc w:val="center"/>
        </w:trPr>
        <w:tc>
          <w:tcPr>
            <w:tcW w:w="149" w:type="pct"/>
            <w:shd w:val="clear" w:color="auto" w:fill="auto"/>
            <w:hideMark/>
          </w:tcPr>
          <w:p w:rsidR="00F73EEB" w:rsidRPr="00F73EEB" w:rsidRDefault="0037470F" w:rsidP="00F73EEB">
            <w:pPr>
              <w:spacing w:line="240" w:lineRule="auto"/>
              <w:jc w:val="center"/>
              <w:rPr>
                <w:b/>
                <w:bCs/>
                <w:sz w:val="19"/>
                <w:szCs w:val="19"/>
                <w:lang w:val="en-IN" w:eastAsia="en-IN"/>
              </w:rPr>
            </w:pPr>
            <w:r>
              <w:rPr>
                <w:b/>
                <w:bCs/>
                <w:sz w:val="19"/>
                <w:szCs w:val="19"/>
                <w:lang w:val="en-IN" w:eastAsia="en-IN"/>
              </w:rPr>
              <w:t>1</w:t>
            </w:r>
          </w:p>
        </w:tc>
        <w:tc>
          <w:tcPr>
            <w:tcW w:w="461" w:type="pct"/>
            <w:shd w:val="clear" w:color="auto" w:fill="auto"/>
            <w:hideMark/>
          </w:tcPr>
          <w:p w:rsidR="00F73EEB" w:rsidRPr="00F73EEB" w:rsidRDefault="00F73EEB" w:rsidP="00F73EEB">
            <w:pPr>
              <w:spacing w:line="240" w:lineRule="auto"/>
              <w:jc w:val="left"/>
              <w:rPr>
                <w:b/>
                <w:bCs/>
                <w:sz w:val="19"/>
                <w:szCs w:val="19"/>
                <w:lang w:val="en-IN" w:eastAsia="en-IN"/>
              </w:rPr>
            </w:pPr>
            <w:r w:rsidRPr="00F73EEB">
              <w:rPr>
                <w:b/>
                <w:bCs/>
                <w:sz w:val="19"/>
                <w:szCs w:val="19"/>
                <w:lang w:val="en-IN" w:eastAsia="en-IN"/>
              </w:rPr>
              <w:t>PPCL</w:t>
            </w:r>
          </w:p>
        </w:tc>
        <w:tc>
          <w:tcPr>
            <w:tcW w:w="254"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216.37</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216.37</w:t>
            </w:r>
          </w:p>
        </w:tc>
        <w:tc>
          <w:tcPr>
            <w:tcW w:w="310"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216.37</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216.37</w:t>
            </w:r>
          </w:p>
        </w:tc>
        <w:tc>
          <w:tcPr>
            <w:tcW w:w="282" w:type="pct"/>
            <w:shd w:val="clear" w:color="auto" w:fill="auto"/>
            <w:noWrap/>
            <w:vAlign w:val="center"/>
            <w:hideMark/>
          </w:tcPr>
          <w:p w:rsidR="00F73EEB" w:rsidRPr="00F73EEB" w:rsidRDefault="00F73EEB" w:rsidP="00735CAB">
            <w:pPr>
              <w:spacing w:line="240" w:lineRule="auto"/>
              <w:jc w:val="right"/>
              <w:rPr>
                <w:color w:val="000000"/>
                <w:sz w:val="19"/>
                <w:szCs w:val="19"/>
                <w:lang w:val="en-IN" w:eastAsia="en-IN"/>
              </w:rPr>
            </w:pPr>
            <w:r w:rsidRPr="00F73EEB">
              <w:rPr>
                <w:color w:val="000000"/>
                <w:sz w:val="19"/>
                <w:szCs w:val="19"/>
                <w:lang w:val="en-IN" w:eastAsia="en-IN"/>
              </w:rPr>
              <w:t>51.50</w:t>
            </w: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53.56</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55.71</w:t>
            </w:r>
          </w:p>
        </w:tc>
        <w:tc>
          <w:tcPr>
            <w:tcW w:w="308"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57.93</w:t>
            </w:r>
          </w:p>
        </w:tc>
        <w:tc>
          <w:tcPr>
            <w:tcW w:w="260"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35.54</w:t>
            </w:r>
          </w:p>
        </w:tc>
        <w:tc>
          <w:tcPr>
            <w:tcW w:w="25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36.96</w:t>
            </w:r>
          </w:p>
        </w:tc>
        <w:tc>
          <w:tcPr>
            <w:tcW w:w="254" w:type="pct"/>
            <w:shd w:val="clear" w:color="auto" w:fill="auto"/>
            <w:vAlign w:val="center"/>
            <w:hideMark/>
          </w:tcPr>
          <w:p w:rsidR="00F73EEB" w:rsidRPr="005C009C" w:rsidRDefault="00F73EEB" w:rsidP="00735CAB">
            <w:pPr>
              <w:spacing w:line="240" w:lineRule="auto"/>
              <w:jc w:val="right"/>
              <w:rPr>
                <w:sz w:val="19"/>
                <w:szCs w:val="19"/>
                <w:lang w:val="en-US" w:eastAsia="en-IN"/>
              </w:rPr>
            </w:pPr>
            <w:r w:rsidRPr="00F73EEB">
              <w:rPr>
                <w:sz w:val="19"/>
                <w:szCs w:val="19"/>
                <w:lang w:val="en-IN" w:eastAsia="en-IN"/>
              </w:rPr>
              <w:t>38.44</w:t>
            </w: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39.98</w:t>
            </w:r>
          </w:p>
        </w:tc>
        <w:tc>
          <w:tcPr>
            <w:tcW w:w="282"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87.04</w:t>
            </w:r>
          </w:p>
        </w:tc>
        <w:tc>
          <w:tcPr>
            <w:tcW w:w="280"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90.53</w:t>
            </w:r>
          </w:p>
        </w:tc>
        <w:tc>
          <w:tcPr>
            <w:tcW w:w="282"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94.15</w:t>
            </w:r>
          </w:p>
        </w:tc>
        <w:tc>
          <w:tcPr>
            <w:tcW w:w="272" w:type="pct"/>
            <w:shd w:val="clear" w:color="auto" w:fill="auto"/>
            <w:vAlign w:val="center"/>
            <w:hideMark/>
          </w:tcPr>
          <w:p w:rsidR="00F73EEB" w:rsidRPr="00F73EEB" w:rsidRDefault="00F73EEB" w:rsidP="00735CAB">
            <w:pPr>
              <w:spacing w:line="240" w:lineRule="auto"/>
              <w:jc w:val="right"/>
              <w:rPr>
                <w:bCs/>
                <w:sz w:val="19"/>
                <w:szCs w:val="19"/>
                <w:lang w:val="en-IN" w:eastAsia="en-IN"/>
              </w:rPr>
            </w:pPr>
            <w:r w:rsidRPr="00F73EEB">
              <w:rPr>
                <w:bCs/>
                <w:sz w:val="19"/>
                <w:szCs w:val="19"/>
                <w:lang w:val="en-IN" w:eastAsia="en-IN"/>
              </w:rPr>
              <w:t>97.91</w:t>
            </w:r>
          </w:p>
        </w:tc>
      </w:tr>
      <w:tr w:rsidR="00C83EE1" w:rsidRPr="00F73EEB" w:rsidTr="00C83EE1">
        <w:trPr>
          <w:trHeight w:val="18"/>
          <w:jc w:val="center"/>
        </w:trPr>
        <w:tc>
          <w:tcPr>
            <w:tcW w:w="149" w:type="pct"/>
            <w:shd w:val="clear" w:color="000000" w:fill="FFFFFF"/>
            <w:hideMark/>
          </w:tcPr>
          <w:p w:rsidR="00F73EEB" w:rsidRPr="00F73EEB" w:rsidRDefault="00F73EEB" w:rsidP="00F73EEB">
            <w:pPr>
              <w:spacing w:line="240" w:lineRule="auto"/>
              <w:jc w:val="center"/>
              <w:rPr>
                <w:sz w:val="19"/>
                <w:szCs w:val="19"/>
                <w:lang w:val="en-IN" w:eastAsia="en-IN"/>
              </w:rPr>
            </w:pPr>
            <w:r w:rsidRPr="00F73EEB">
              <w:rPr>
                <w:sz w:val="19"/>
                <w:szCs w:val="19"/>
                <w:lang w:val="en-IN" w:eastAsia="en-IN"/>
              </w:rPr>
              <w:t> </w:t>
            </w:r>
          </w:p>
        </w:tc>
        <w:tc>
          <w:tcPr>
            <w:tcW w:w="461" w:type="pct"/>
            <w:shd w:val="clear" w:color="000000" w:fill="FFFFFF"/>
            <w:hideMark/>
          </w:tcPr>
          <w:p w:rsidR="00F73EEB" w:rsidRPr="00F73EEB" w:rsidRDefault="00F73EEB" w:rsidP="00F73EEB">
            <w:pPr>
              <w:spacing w:line="240" w:lineRule="auto"/>
              <w:ind w:firstLineChars="100" w:firstLine="190"/>
              <w:jc w:val="left"/>
              <w:rPr>
                <w:i/>
                <w:iCs/>
                <w:sz w:val="19"/>
                <w:szCs w:val="19"/>
                <w:lang w:val="en-IN" w:eastAsia="en-IN"/>
              </w:rPr>
            </w:pPr>
            <w:r w:rsidRPr="00F73EEB">
              <w:rPr>
                <w:i/>
                <w:iCs/>
                <w:sz w:val="19"/>
                <w:szCs w:val="19"/>
                <w:lang w:val="en-IN" w:eastAsia="en-IN"/>
              </w:rPr>
              <w:t> </w:t>
            </w:r>
          </w:p>
        </w:tc>
        <w:tc>
          <w:tcPr>
            <w:tcW w:w="254"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310"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noWrap/>
            <w:vAlign w:val="center"/>
            <w:hideMark/>
          </w:tcPr>
          <w:p w:rsidR="00F73EEB" w:rsidRPr="00F73EEB" w:rsidRDefault="00F73EEB" w:rsidP="00735CAB">
            <w:pPr>
              <w:spacing w:line="240" w:lineRule="auto"/>
              <w:jc w:val="right"/>
              <w:rPr>
                <w:color w:val="000000"/>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308"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60"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5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w:t>
            </w:r>
          </w:p>
        </w:tc>
        <w:tc>
          <w:tcPr>
            <w:tcW w:w="280"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7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r>
      <w:tr w:rsidR="00C83EE1" w:rsidRPr="00F73EEB" w:rsidTr="00C83EE1">
        <w:trPr>
          <w:trHeight w:val="18"/>
          <w:jc w:val="center"/>
        </w:trPr>
        <w:tc>
          <w:tcPr>
            <w:tcW w:w="149" w:type="pct"/>
            <w:shd w:val="clear" w:color="auto" w:fill="auto"/>
            <w:hideMark/>
          </w:tcPr>
          <w:p w:rsidR="00F73EEB" w:rsidRPr="00F73EEB" w:rsidRDefault="00F73EEB" w:rsidP="00F73EEB">
            <w:pPr>
              <w:spacing w:line="240" w:lineRule="auto"/>
              <w:jc w:val="center"/>
              <w:rPr>
                <w:b/>
                <w:bCs/>
                <w:sz w:val="19"/>
                <w:szCs w:val="19"/>
                <w:lang w:val="en-IN" w:eastAsia="en-IN"/>
              </w:rPr>
            </w:pPr>
            <w:r w:rsidRPr="00F73EEB">
              <w:rPr>
                <w:b/>
                <w:bCs/>
                <w:sz w:val="19"/>
                <w:szCs w:val="19"/>
                <w:lang w:val="en-IN" w:eastAsia="en-IN"/>
              </w:rPr>
              <w:t>C</w:t>
            </w:r>
          </w:p>
        </w:tc>
        <w:tc>
          <w:tcPr>
            <w:tcW w:w="461" w:type="pct"/>
            <w:shd w:val="clear" w:color="auto" w:fill="auto"/>
            <w:hideMark/>
          </w:tcPr>
          <w:p w:rsidR="00F73EEB" w:rsidRPr="00F73EEB" w:rsidRDefault="00F73EEB" w:rsidP="00F73EEB">
            <w:pPr>
              <w:spacing w:line="240" w:lineRule="auto"/>
              <w:jc w:val="left"/>
              <w:rPr>
                <w:b/>
                <w:bCs/>
                <w:sz w:val="19"/>
                <w:szCs w:val="19"/>
                <w:lang w:val="en-IN" w:eastAsia="en-IN"/>
              </w:rPr>
            </w:pPr>
            <w:r w:rsidRPr="00F73EEB">
              <w:rPr>
                <w:b/>
                <w:bCs/>
                <w:sz w:val="19"/>
                <w:szCs w:val="19"/>
                <w:lang w:val="en-IN" w:eastAsia="en-IN"/>
              </w:rPr>
              <w:t>OTHER CHARGES</w:t>
            </w:r>
          </w:p>
        </w:tc>
        <w:tc>
          <w:tcPr>
            <w:tcW w:w="254"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w:t>
            </w:r>
          </w:p>
        </w:tc>
        <w:tc>
          <w:tcPr>
            <w:tcW w:w="28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p>
        </w:tc>
        <w:tc>
          <w:tcPr>
            <w:tcW w:w="310"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p>
        </w:tc>
        <w:tc>
          <w:tcPr>
            <w:tcW w:w="282" w:type="pct"/>
            <w:shd w:val="clear" w:color="auto" w:fill="auto"/>
            <w:noWrap/>
            <w:vAlign w:val="center"/>
            <w:hideMark/>
          </w:tcPr>
          <w:p w:rsidR="00F73EEB" w:rsidRPr="00F73EEB" w:rsidRDefault="00F73EEB" w:rsidP="00735CAB">
            <w:pPr>
              <w:spacing w:line="240" w:lineRule="auto"/>
              <w:jc w:val="right"/>
              <w:rPr>
                <w:color w:val="000000"/>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p>
        </w:tc>
        <w:tc>
          <w:tcPr>
            <w:tcW w:w="308"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p>
        </w:tc>
        <w:tc>
          <w:tcPr>
            <w:tcW w:w="260"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p>
        </w:tc>
        <w:tc>
          <w:tcPr>
            <w:tcW w:w="25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p>
        </w:tc>
        <w:tc>
          <w:tcPr>
            <w:tcW w:w="282" w:type="pct"/>
            <w:shd w:val="clear" w:color="auto" w:fill="auto"/>
            <w:noWrap/>
            <w:vAlign w:val="center"/>
            <w:hideMark/>
          </w:tcPr>
          <w:p w:rsidR="00F73EEB" w:rsidRPr="00F73EEB" w:rsidRDefault="00F73EEB" w:rsidP="00735CAB">
            <w:pPr>
              <w:spacing w:line="240" w:lineRule="auto"/>
              <w:jc w:val="right"/>
              <w:rPr>
                <w:color w:val="000000"/>
                <w:sz w:val="19"/>
                <w:szCs w:val="19"/>
                <w:lang w:val="en-IN" w:eastAsia="en-IN"/>
              </w:rPr>
            </w:pPr>
          </w:p>
        </w:tc>
        <w:tc>
          <w:tcPr>
            <w:tcW w:w="280" w:type="pct"/>
            <w:shd w:val="clear" w:color="auto" w:fill="auto"/>
            <w:noWrap/>
            <w:vAlign w:val="center"/>
            <w:hideMark/>
          </w:tcPr>
          <w:p w:rsidR="00F73EEB" w:rsidRPr="00F73EEB" w:rsidRDefault="00F73EEB" w:rsidP="00735CAB">
            <w:pPr>
              <w:spacing w:line="240" w:lineRule="auto"/>
              <w:jc w:val="right"/>
              <w:rPr>
                <w:color w:val="000000"/>
                <w:sz w:val="19"/>
                <w:szCs w:val="19"/>
                <w:lang w:val="en-IN" w:eastAsia="en-IN"/>
              </w:rPr>
            </w:pPr>
          </w:p>
        </w:tc>
        <w:tc>
          <w:tcPr>
            <w:tcW w:w="282" w:type="pct"/>
            <w:shd w:val="clear" w:color="auto" w:fill="auto"/>
            <w:noWrap/>
            <w:vAlign w:val="center"/>
            <w:hideMark/>
          </w:tcPr>
          <w:p w:rsidR="00F73EEB" w:rsidRPr="00F73EEB" w:rsidRDefault="00F73EEB" w:rsidP="00735CAB">
            <w:pPr>
              <w:spacing w:line="240" w:lineRule="auto"/>
              <w:jc w:val="right"/>
              <w:rPr>
                <w:color w:val="000000"/>
                <w:sz w:val="19"/>
                <w:szCs w:val="19"/>
                <w:lang w:val="en-IN" w:eastAsia="en-IN"/>
              </w:rPr>
            </w:pPr>
          </w:p>
        </w:tc>
        <w:tc>
          <w:tcPr>
            <w:tcW w:w="272" w:type="pct"/>
            <w:shd w:val="clear" w:color="auto" w:fill="auto"/>
            <w:noWrap/>
            <w:vAlign w:val="center"/>
            <w:hideMark/>
          </w:tcPr>
          <w:p w:rsidR="00F73EEB" w:rsidRPr="00F73EEB" w:rsidRDefault="00F73EEB" w:rsidP="00735CAB">
            <w:pPr>
              <w:spacing w:line="240" w:lineRule="auto"/>
              <w:jc w:val="right"/>
              <w:rPr>
                <w:color w:val="000000"/>
                <w:sz w:val="19"/>
                <w:szCs w:val="19"/>
                <w:lang w:val="en-IN" w:eastAsia="en-IN"/>
              </w:rPr>
            </w:pPr>
          </w:p>
        </w:tc>
      </w:tr>
      <w:tr w:rsidR="00C83EE1" w:rsidRPr="00F73EEB" w:rsidTr="00C83EE1">
        <w:trPr>
          <w:trHeight w:val="18"/>
          <w:jc w:val="center"/>
        </w:trPr>
        <w:tc>
          <w:tcPr>
            <w:tcW w:w="149" w:type="pct"/>
            <w:shd w:val="clear" w:color="auto" w:fill="auto"/>
            <w:hideMark/>
          </w:tcPr>
          <w:p w:rsidR="00F73EEB" w:rsidRPr="00F73EEB" w:rsidRDefault="00F73EEB" w:rsidP="00F73EEB">
            <w:pPr>
              <w:spacing w:line="240" w:lineRule="auto"/>
              <w:jc w:val="center"/>
              <w:rPr>
                <w:sz w:val="19"/>
                <w:szCs w:val="19"/>
                <w:lang w:val="en-IN" w:eastAsia="en-IN"/>
              </w:rPr>
            </w:pPr>
            <w:r w:rsidRPr="00F73EEB">
              <w:rPr>
                <w:sz w:val="19"/>
                <w:szCs w:val="19"/>
                <w:lang w:val="en-IN" w:eastAsia="en-IN"/>
              </w:rPr>
              <w:t> </w:t>
            </w:r>
          </w:p>
        </w:tc>
        <w:tc>
          <w:tcPr>
            <w:tcW w:w="461" w:type="pct"/>
            <w:shd w:val="clear" w:color="auto" w:fill="auto"/>
            <w:hideMark/>
          </w:tcPr>
          <w:p w:rsidR="00F73EEB" w:rsidRPr="00F73EEB" w:rsidRDefault="00F73EEB" w:rsidP="00A647D0">
            <w:pPr>
              <w:spacing w:line="240" w:lineRule="auto"/>
              <w:jc w:val="left"/>
              <w:rPr>
                <w:i/>
                <w:iCs/>
                <w:sz w:val="19"/>
                <w:szCs w:val="19"/>
                <w:lang w:val="en-IN" w:eastAsia="en-IN"/>
              </w:rPr>
            </w:pPr>
            <w:r w:rsidRPr="00F73EEB">
              <w:rPr>
                <w:i/>
                <w:iCs/>
                <w:sz w:val="19"/>
                <w:szCs w:val="19"/>
                <w:lang w:val="en-IN" w:eastAsia="en-IN"/>
              </w:rPr>
              <w:t>PGCIL Transmission Charges, Wheeling &amp; Other Charges</w:t>
            </w:r>
          </w:p>
        </w:tc>
        <w:tc>
          <w:tcPr>
            <w:tcW w:w="254"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310"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noWrap/>
            <w:vAlign w:val="center"/>
            <w:hideMark/>
          </w:tcPr>
          <w:p w:rsidR="00F73EEB" w:rsidRPr="00F73EEB" w:rsidRDefault="00F73EEB" w:rsidP="00735CAB">
            <w:pPr>
              <w:spacing w:line="240" w:lineRule="auto"/>
              <w:jc w:val="right"/>
              <w:rPr>
                <w:color w:val="000000"/>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308"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60"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5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71.15</w:t>
            </w:r>
          </w:p>
        </w:tc>
        <w:tc>
          <w:tcPr>
            <w:tcW w:w="280"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73.13</w:t>
            </w:r>
          </w:p>
        </w:tc>
        <w:tc>
          <w:tcPr>
            <w:tcW w:w="28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75.62</w:t>
            </w:r>
          </w:p>
        </w:tc>
        <w:tc>
          <w:tcPr>
            <w:tcW w:w="27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78.52</w:t>
            </w:r>
          </w:p>
        </w:tc>
      </w:tr>
      <w:tr w:rsidR="00C83EE1" w:rsidRPr="00F73EEB" w:rsidTr="00C83EE1">
        <w:trPr>
          <w:trHeight w:val="18"/>
          <w:jc w:val="center"/>
        </w:trPr>
        <w:tc>
          <w:tcPr>
            <w:tcW w:w="149" w:type="pct"/>
            <w:shd w:val="clear" w:color="auto" w:fill="auto"/>
            <w:hideMark/>
          </w:tcPr>
          <w:p w:rsidR="00F73EEB" w:rsidRPr="00F73EEB" w:rsidRDefault="00F73EEB" w:rsidP="00F73EEB">
            <w:pPr>
              <w:spacing w:line="240" w:lineRule="auto"/>
              <w:jc w:val="center"/>
              <w:rPr>
                <w:sz w:val="19"/>
                <w:szCs w:val="19"/>
                <w:lang w:val="en-IN" w:eastAsia="en-IN"/>
              </w:rPr>
            </w:pPr>
            <w:r w:rsidRPr="00F73EEB">
              <w:rPr>
                <w:sz w:val="19"/>
                <w:szCs w:val="19"/>
                <w:lang w:val="en-IN" w:eastAsia="en-IN"/>
              </w:rPr>
              <w:t> </w:t>
            </w:r>
          </w:p>
        </w:tc>
        <w:tc>
          <w:tcPr>
            <w:tcW w:w="461" w:type="pct"/>
            <w:shd w:val="clear" w:color="auto" w:fill="auto"/>
            <w:hideMark/>
          </w:tcPr>
          <w:p w:rsidR="00F73EEB" w:rsidRPr="00F73EEB" w:rsidRDefault="00F73EEB" w:rsidP="00A647D0">
            <w:pPr>
              <w:spacing w:line="240" w:lineRule="auto"/>
              <w:jc w:val="left"/>
              <w:rPr>
                <w:i/>
                <w:iCs/>
                <w:sz w:val="19"/>
                <w:szCs w:val="19"/>
                <w:lang w:val="en-IN" w:eastAsia="en-IN"/>
              </w:rPr>
            </w:pPr>
            <w:r w:rsidRPr="00F73EEB">
              <w:rPr>
                <w:i/>
                <w:iCs/>
                <w:sz w:val="19"/>
                <w:szCs w:val="19"/>
                <w:lang w:val="en-IN" w:eastAsia="en-IN"/>
              </w:rPr>
              <w:t>POSOCO</w:t>
            </w:r>
          </w:p>
        </w:tc>
        <w:tc>
          <w:tcPr>
            <w:tcW w:w="254"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310"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noWrap/>
            <w:vAlign w:val="center"/>
            <w:hideMark/>
          </w:tcPr>
          <w:p w:rsidR="00F73EEB" w:rsidRPr="00F73EEB" w:rsidRDefault="00F73EEB" w:rsidP="00735CAB">
            <w:pPr>
              <w:spacing w:line="240" w:lineRule="auto"/>
              <w:jc w:val="right"/>
              <w:rPr>
                <w:color w:val="000000"/>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308"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60"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5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w:t>
            </w:r>
          </w:p>
        </w:tc>
        <w:tc>
          <w:tcPr>
            <w:tcW w:w="280"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7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r>
      <w:tr w:rsidR="00C83EE1" w:rsidRPr="00F73EEB" w:rsidTr="00C83EE1">
        <w:trPr>
          <w:trHeight w:val="18"/>
          <w:jc w:val="center"/>
        </w:trPr>
        <w:tc>
          <w:tcPr>
            <w:tcW w:w="149" w:type="pct"/>
            <w:shd w:val="clear" w:color="auto" w:fill="auto"/>
            <w:hideMark/>
          </w:tcPr>
          <w:p w:rsidR="00F73EEB" w:rsidRPr="00F73EEB" w:rsidRDefault="00F73EEB" w:rsidP="00F73EEB">
            <w:pPr>
              <w:spacing w:line="240" w:lineRule="auto"/>
              <w:jc w:val="center"/>
              <w:rPr>
                <w:sz w:val="19"/>
                <w:szCs w:val="19"/>
                <w:lang w:val="en-IN" w:eastAsia="en-IN"/>
              </w:rPr>
            </w:pPr>
            <w:r w:rsidRPr="00F73EEB">
              <w:rPr>
                <w:sz w:val="19"/>
                <w:szCs w:val="19"/>
                <w:lang w:val="en-IN" w:eastAsia="en-IN"/>
              </w:rPr>
              <w:t> </w:t>
            </w:r>
          </w:p>
        </w:tc>
        <w:tc>
          <w:tcPr>
            <w:tcW w:w="461" w:type="pct"/>
            <w:shd w:val="clear" w:color="auto" w:fill="auto"/>
            <w:hideMark/>
          </w:tcPr>
          <w:p w:rsidR="00F73EEB" w:rsidRPr="00F73EEB" w:rsidRDefault="00F73EEB" w:rsidP="00A647D0">
            <w:pPr>
              <w:spacing w:line="240" w:lineRule="auto"/>
              <w:jc w:val="left"/>
              <w:rPr>
                <w:i/>
                <w:iCs/>
                <w:sz w:val="19"/>
                <w:szCs w:val="19"/>
                <w:lang w:val="en-IN" w:eastAsia="en-IN"/>
              </w:rPr>
            </w:pPr>
            <w:r w:rsidRPr="00F73EEB">
              <w:rPr>
                <w:i/>
                <w:iCs/>
                <w:sz w:val="19"/>
                <w:szCs w:val="19"/>
                <w:lang w:val="en-IN" w:eastAsia="en-IN"/>
              </w:rPr>
              <w:t>PCKL</w:t>
            </w:r>
          </w:p>
        </w:tc>
        <w:tc>
          <w:tcPr>
            <w:tcW w:w="254"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310"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noWrap/>
            <w:vAlign w:val="center"/>
            <w:hideMark/>
          </w:tcPr>
          <w:p w:rsidR="00F73EEB" w:rsidRPr="00F73EEB" w:rsidRDefault="00F73EEB" w:rsidP="00735CAB">
            <w:pPr>
              <w:spacing w:line="240" w:lineRule="auto"/>
              <w:jc w:val="right"/>
              <w:rPr>
                <w:color w:val="000000"/>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308"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60"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5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w:t>
            </w:r>
          </w:p>
        </w:tc>
        <w:tc>
          <w:tcPr>
            <w:tcW w:w="280"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7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r>
      <w:tr w:rsidR="00C83EE1" w:rsidRPr="00F73EEB" w:rsidTr="00C83EE1">
        <w:trPr>
          <w:trHeight w:val="18"/>
          <w:jc w:val="center"/>
        </w:trPr>
        <w:tc>
          <w:tcPr>
            <w:tcW w:w="149" w:type="pct"/>
            <w:shd w:val="clear" w:color="auto" w:fill="auto"/>
            <w:hideMark/>
          </w:tcPr>
          <w:p w:rsidR="00F73EEB" w:rsidRPr="00F73EEB" w:rsidRDefault="00F73EEB" w:rsidP="00F73EEB">
            <w:pPr>
              <w:spacing w:line="240" w:lineRule="auto"/>
              <w:jc w:val="center"/>
              <w:rPr>
                <w:b/>
                <w:bCs/>
                <w:sz w:val="19"/>
                <w:szCs w:val="19"/>
                <w:lang w:val="en-IN" w:eastAsia="en-IN"/>
              </w:rPr>
            </w:pPr>
            <w:r w:rsidRPr="00F73EEB">
              <w:rPr>
                <w:b/>
                <w:bCs/>
                <w:sz w:val="19"/>
                <w:szCs w:val="19"/>
                <w:lang w:val="en-IN" w:eastAsia="en-IN"/>
              </w:rPr>
              <w:t>D</w:t>
            </w:r>
          </w:p>
        </w:tc>
        <w:tc>
          <w:tcPr>
            <w:tcW w:w="461" w:type="pct"/>
            <w:shd w:val="clear" w:color="auto" w:fill="auto"/>
            <w:hideMark/>
          </w:tcPr>
          <w:p w:rsidR="00F73EEB" w:rsidRPr="00F73EEB" w:rsidRDefault="00F73EEB" w:rsidP="00A647D0">
            <w:pPr>
              <w:spacing w:line="240" w:lineRule="auto"/>
              <w:jc w:val="left"/>
              <w:rPr>
                <w:i/>
                <w:iCs/>
                <w:sz w:val="19"/>
                <w:szCs w:val="19"/>
                <w:lang w:val="en-IN" w:eastAsia="en-IN"/>
              </w:rPr>
            </w:pPr>
            <w:r w:rsidRPr="00F73EEB">
              <w:rPr>
                <w:i/>
                <w:iCs/>
                <w:sz w:val="19"/>
                <w:szCs w:val="19"/>
                <w:lang w:val="en-IN" w:eastAsia="en-IN"/>
              </w:rPr>
              <w:t>UI</w:t>
            </w:r>
          </w:p>
        </w:tc>
        <w:tc>
          <w:tcPr>
            <w:tcW w:w="254"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310"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noWrap/>
            <w:vAlign w:val="center"/>
            <w:hideMark/>
          </w:tcPr>
          <w:p w:rsidR="00F73EEB" w:rsidRPr="00F73EEB" w:rsidRDefault="00F73EEB" w:rsidP="00735CAB">
            <w:pPr>
              <w:spacing w:line="240" w:lineRule="auto"/>
              <w:jc w:val="right"/>
              <w:rPr>
                <w:color w:val="000000"/>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308"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60"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5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w:t>
            </w:r>
          </w:p>
        </w:tc>
        <w:tc>
          <w:tcPr>
            <w:tcW w:w="280"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7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r>
      <w:tr w:rsidR="00C83EE1" w:rsidRPr="00F73EEB" w:rsidTr="00C83EE1">
        <w:trPr>
          <w:trHeight w:val="18"/>
          <w:jc w:val="center"/>
        </w:trPr>
        <w:tc>
          <w:tcPr>
            <w:tcW w:w="149" w:type="pct"/>
            <w:shd w:val="clear" w:color="auto" w:fill="auto"/>
            <w:hideMark/>
          </w:tcPr>
          <w:p w:rsidR="00F73EEB" w:rsidRPr="00F73EEB" w:rsidRDefault="00F73EEB" w:rsidP="00F73EEB">
            <w:pPr>
              <w:spacing w:line="240" w:lineRule="auto"/>
              <w:jc w:val="center"/>
              <w:rPr>
                <w:sz w:val="19"/>
                <w:szCs w:val="19"/>
                <w:lang w:val="en-IN" w:eastAsia="en-IN"/>
              </w:rPr>
            </w:pPr>
            <w:r w:rsidRPr="00F73EEB">
              <w:rPr>
                <w:sz w:val="19"/>
                <w:szCs w:val="19"/>
                <w:lang w:val="en-IN" w:eastAsia="en-IN"/>
              </w:rPr>
              <w:t> </w:t>
            </w:r>
          </w:p>
        </w:tc>
        <w:tc>
          <w:tcPr>
            <w:tcW w:w="461" w:type="pct"/>
            <w:shd w:val="clear" w:color="auto" w:fill="auto"/>
            <w:hideMark/>
          </w:tcPr>
          <w:p w:rsidR="00F73EEB" w:rsidRPr="00F73EEB" w:rsidRDefault="00F73EEB" w:rsidP="00A647D0">
            <w:pPr>
              <w:spacing w:line="240" w:lineRule="auto"/>
              <w:jc w:val="left"/>
              <w:rPr>
                <w:i/>
                <w:iCs/>
                <w:sz w:val="19"/>
                <w:szCs w:val="19"/>
                <w:lang w:val="en-IN" w:eastAsia="en-IN"/>
              </w:rPr>
            </w:pPr>
            <w:r w:rsidRPr="00F73EEB">
              <w:rPr>
                <w:i/>
                <w:iCs/>
                <w:sz w:val="19"/>
                <w:szCs w:val="19"/>
                <w:lang w:val="en-IN" w:eastAsia="en-IN"/>
              </w:rPr>
              <w:t>Sale of Surplus power</w:t>
            </w:r>
          </w:p>
        </w:tc>
        <w:tc>
          <w:tcPr>
            <w:tcW w:w="254"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(54.02)</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w:t>
            </w:r>
          </w:p>
        </w:tc>
        <w:tc>
          <w:tcPr>
            <w:tcW w:w="310"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noWrap/>
            <w:vAlign w:val="center"/>
            <w:hideMark/>
          </w:tcPr>
          <w:p w:rsidR="00F73EEB" w:rsidRPr="00F73EEB" w:rsidRDefault="00F73EEB" w:rsidP="00735CAB">
            <w:pPr>
              <w:spacing w:line="240" w:lineRule="auto"/>
              <w:jc w:val="right"/>
              <w:rPr>
                <w:color w:val="000000"/>
                <w:sz w:val="19"/>
                <w:szCs w:val="19"/>
                <w:lang w:val="en-IN" w:eastAsia="en-IN"/>
              </w:rPr>
            </w:pPr>
            <w:r w:rsidRPr="00F73EEB">
              <w:rPr>
                <w:color w:val="000000"/>
                <w:sz w:val="19"/>
                <w:szCs w:val="19"/>
                <w:lang w:val="en-IN" w:eastAsia="en-IN"/>
              </w:rPr>
              <w:t>(16.21)</w:t>
            </w: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308"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60" w:type="pct"/>
            <w:shd w:val="clear" w:color="auto" w:fill="auto"/>
            <w:vAlign w:val="center"/>
            <w:hideMark/>
          </w:tcPr>
          <w:p w:rsidR="00F73EEB" w:rsidRPr="00F73EEB" w:rsidRDefault="00F73EEB" w:rsidP="00735CAB">
            <w:pPr>
              <w:spacing w:line="240" w:lineRule="auto"/>
              <w:jc w:val="right"/>
              <w:rPr>
                <w:sz w:val="19"/>
                <w:szCs w:val="19"/>
                <w:lang w:val="en-IN" w:eastAsia="en-IN"/>
              </w:rPr>
            </w:pPr>
            <w:r w:rsidRPr="00F73EEB">
              <w:rPr>
                <w:sz w:val="19"/>
                <w:szCs w:val="19"/>
                <w:lang w:val="en-IN" w:eastAsia="en-IN"/>
              </w:rPr>
              <w:t>-</w:t>
            </w:r>
          </w:p>
        </w:tc>
        <w:tc>
          <w:tcPr>
            <w:tcW w:w="25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(16.21)</w:t>
            </w:r>
          </w:p>
        </w:tc>
        <w:tc>
          <w:tcPr>
            <w:tcW w:w="280"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w:t>
            </w:r>
          </w:p>
        </w:tc>
        <w:tc>
          <w:tcPr>
            <w:tcW w:w="28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w:t>
            </w:r>
          </w:p>
        </w:tc>
        <w:tc>
          <w:tcPr>
            <w:tcW w:w="27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w:t>
            </w:r>
          </w:p>
        </w:tc>
      </w:tr>
      <w:tr w:rsidR="00C83EE1" w:rsidRPr="00F73EEB" w:rsidTr="00C83EE1">
        <w:trPr>
          <w:trHeight w:val="18"/>
          <w:jc w:val="center"/>
        </w:trPr>
        <w:tc>
          <w:tcPr>
            <w:tcW w:w="149" w:type="pct"/>
            <w:shd w:val="clear" w:color="auto" w:fill="auto"/>
            <w:hideMark/>
          </w:tcPr>
          <w:p w:rsidR="00F73EEB" w:rsidRPr="00F73EEB" w:rsidRDefault="00F73EEB" w:rsidP="00F73EEB">
            <w:pPr>
              <w:spacing w:line="240" w:lineRule="auto"/>
              <w:jc w:val="center"/>
              <w:rPr>
                <w:sz w:val="19"/>
                <w:szCs w:val="19"/>
                <w:lang w:val="en-IN" w:eastAsia="en-IN"/>
              </w:rPr>
            </w:pPr>
            <w:r w:rsidRPr="00F73EEB">
              <w:rPr>
                <w:sz w:val="19"/>
                <w:szCs w:val="19"/>
                <w:lang w:val="en-IN" w:eastAsia="en-IN"/>
              </w:rPr>
              <w:t> </w:t>
            </w:r>
          </w:p>
        </w:tc>
        <w:tc>
          <w:tcPr>
            <w:tcW w:w="461" w:type="pct"/>
            <w:shd w:val="clear" w:color="auto" w:fill="auto"/>
            <w:hideMark/>
          </w:tcPr>
          <w:p w:rsidR="00F73EEB" w:rsidRPr="00F73EEB" w:rsidRDefault="00F73EEB" w:rsidP="00A647D0">
            <w:pPr>
              <w:spacing w:line="240" w:lineRule="auto"/>
              <w:jc w:val="left"/>
              <w:rPr>
                <w:i/>
                <w:iCs/>
                <w:sz w:val="19"/>
                <w:szCs w:val="19"/>
                <w:lang w:val="en-IN" w:eastAsia="en-IN"/>
              </w:rPr>
            </w:pPr>
            <w:r w:rsidRPr="00F73EEB">
              <w:rPr>
                <w:i/>
                <w:iCs/>
                <w:sz w:val="19"/>
                <w:szCs w:val="19"/>
                <w:lang w:val="en-IN" w:eastAsia="en-IN"/>
              </w:rPr>
              <w:t>open access</w:t>
            </w:r>
          </w:p>
        </w:tc>
        <w:tc>
          <w:tcPr>
            <w:tcW w:w="254"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310"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noWrap/>
            <w:vAlign w:val="center"/>
            <w:hideMark/>
          </w:tcPr>
          <w:p w:rsidR="00F73EEB" w:rsidRPr="00F73EEB" w:rsidRDefault="00F73EEB" w:rsidP="00735CAB">
            <w:pPr>
              <w:spacing w:line="240" w:lineRule="auto"/>
              <w:jc w:val="right"/>
              <w:rPr>
                <w:color w:val="000000"/>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308"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60"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5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w:t>
            </w:r>
          </w:p>
        </w:tc>
        <w:tc>
          <w:tcPr>
            <w:tcW w:w="280"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7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r>
      <w:tr w:rsidR="00C83EE1" w:rsidRPr="00F73EEB" w:rsidTr="00C83EE1">
        <w:trPr>
          <w:trHeight w:val="18"/>
          <w:jc w:val="center"/>
        </w:trPr>
        <w:tc>
          <w:tcPr>
            <w:tcW w:w="149" w:type="pct"/>
            <w:shd w:val="clear" w:color="auto" w:fill="auto"/>
            <w:hideMark/>
          </w:tcPr>
          <w:p w:rsidR="00F73EEB" w:rsidRPr="00F73EEB" w:rsidRDefault="00F73EEB" w:rsidP="00F73EEB">
            <w:pPr>
              <w:spacing w:line="240" w:lineRule="auto"/>
              <w:jc w:val="center"/>
              <w:rPr>
                <w:sz w:val="19"/>
                <w:szCs w:val="19"/>
                <w:lang w:val="en-IN" w:eastAsia="en-IN"/>
              </w:rPr>
            </w:pPr>
            <w:r w:rsidRPr="00F73EEB">
              <w:rPr>
                <w:sz w:val="19"/>
                <w:szCs w:val="19"/>
                <w:lang w:val="en-IN" w:eastAsia="en-IN"/>
              </w:rPr>
              <w:t> </w:t>
            </w:r>
          </w:p>
        </w:tc>
        <w:tc>
          <w:tcPr>
            <w:tcW w:w="461" w:type="pct"/>
            <w:shd w:val="clear" w:color="auto" w:fill="auto"/>
            <w:hideMark/>
          </w:tcPr>
          <w:p w:rsidR="00F73EEB" w:rsidRPr="00F73EEB" w:rsidRDefault="00F73EEB" w:rsidP="00F73EEB">
            <w:pPr>
              <w:spacing w:line="240" w:lineRule="auto"/>
              <w:jc w:val="left"/>
              <w:rPr>
                <w:sz w:val="19"/>
                <w:szCs w:val="19"/>
                <w:lang w:val="en-IN" w:eastAsia="en-IN"/>
              </w:rPr>
            </w:pPr>
            <w:r w:rsidRPr="00F73EEB">
              <w:rPr>
                <w:sz w:val="19"/>
                <w:szCs w:val="19"/>
                <w:lang w:val="en-IN" w:eastAsia="en-IN"/>
              </w:rPr>
              <w:t> </w:t>
            </w:r>
          </w:p>
        </w:tc>
        <w:tc>
          <w:tcPr>
            <w:tcW w:w="254"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w:t>
            </w: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310"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308"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60"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5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54"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b/>
                <w:bCs/>
                <w:sz w:val="19"/>
                <w:szCs w:val="19"/>
                <w:lang w:val="en-IN" w:eastAsia="en-IN"/>
              </w:rPr>
            </w:pPr>
            <w:r w:rsidRPr="00F73EEB">
              <w:rPr>
                <w:b/>
                <w:bCs/>
                <w:sz w:val="19"/>
                <w:szCs w:val="19"/>
                <w:lang w:val="en-IN" w:eastAsia="en-IN"/>
              </w:rPr>
              <w:t>-</w:t>
            </w:r>
          </w:p>
        </w:tc>
        <w:tc>
          <w:tcPr>
            <w:tcW w:w="280"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8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c>
          <w:tcPr>
            <w:tcW w:w="272" w:type="pct"/>
            <w:shd w:val="clear" w:color="auto" w:fill="auto"/>
            <w:vAlign w:val="center"/>
            <w:hideMark/>
          </w:tcPr>
          <w:p w:rsidR="00F73EEB" w:rsidRPr="00F73EEB" w:rsidRDefault="00F73EEB" w:rsidP="00735CAB">
            <w:pPr>
              <w:spacing w:line="240" w:lineRule="auto"/>
              <w:jc w:val="right"/>
              <w:rPr>
                <w:sz w:val="19"/>
                <w:szCs w:val="19"/>
                <w:lang w:val="en-IN" w:eastAsia="en-IN"/>
              </w:rPr>
            </w:pPr>
          </w:p>
        </w:tc>
      </w:tr>
      <w:tr w:rsidR="00C83EE1" w:rsidRPr="00F73EEB" w:rsidTr="00C83EE1">
        <w:trPr>
          <w:trHeight w:val="18"/>
          <w:jc w:val="center"/>
        </w:trPr>
        <w:tc>
          <w:tcPr>
            <w:tcW w:w="149" w:type="pct"/>
            <w:shd w:val="clear" w:color="000000" w:fill="44546A"/>
            <w:hideMark/>
          </w:tcPr>
          <w:p w:rsidR="0037470F" w:rsidRPr="00F73EEB" w:rsidRDefault="0037470F" w:rsidP="0037470F">
            <w:pPr>
              <w:spacing w:line="240" w:lineRule="auto"/>
              <w:jc w:val="center"/>
              <w:rPr>
                <w:b/>
                <w:bCs/>
                <w:color w:val="FFFFFF"/>
                <w:sz w:val="19"/>
                <w:szCs w:val="19"/>
                <w:lang w:val="en-IN" w:eastAsia="en-IN"/>
              </w:rPr>
            </w:pPr>
            <w:r w:rsidRPr="00F73EEB">
              <w:rPr>
                <w:b/>
                <w:bCs/>
                <w:color w:val="FFFFFF"/>
                <w:sz w:val="19"/>
                <w:szCs w:val="19"/>
                <w:lang w:val="en-IN" w:eastAsia="en-IN"/>
              </w:rPr>
              <w:t>E</w:t>
            </w:r>
          </w:p>
        </w:tc>
        <w:tc>
          <w:tcPr>
            <w:tcW w:w="461" w:type="pct"/>
            <w:shd w:val="clear" w:color="000000" w:fill="44546A"/>
            <w:vAlign w:val="center"/>
            <w:hideMark/>
          </w:tcPr>
          <w:p w:rsidR="0037470F" w:rsidRPr="00F73EEB" w:rsidRDefault="0037470F" w:rsidP="0037470F">
            <w:pPr>
              <w:spacing w:line="240" w:lineRule="auto"/>
              <w:jc w:val="center"/>
              <w:rPr>
                <w:b/>
                <w:bCs/>
                <w:color w:val="FFFFFF"/>
                <w:sz w:val="19"/>
                <w:szCs w:val="19"/>
                <w:lang w:val="en-IN" w:eastAsia="en-IN"/>
              </w:rPr>
            </w:pPr>
            <w:r w:rsidRPr="00F73EEB">
              <w:rPr>
                <w:b/>
                <w:bCs/>
                <w:color w:val="FFFFFF"/>
                <w:sz w:val="19"/>
                <w:szCs w:val="19"/>
                <w:lang w:val="en-IN" w:eastAsia="en-IN"/>
              </w:rPr>
              <w:t xml:space="preserve">Total </w:t>
            </w:r>
          </w:p>
        </w:tc>
        <w:tc>
          <w:tcPr>
            <w:tcW w:w="254" w:type="pct"/>
            <w:shd w:val="clear" w:color="000000" w:fill="44546A"/>
            <w:vAlign w:val="center"/>
            <w:hideMark/>
          </w:tcPr>
          <w:p w:rsidR="0037470F" w:rsidRPr="00F73EEB" w:rsidRDefault="0037470F" w:rsidP="00735CAB">
            <w:pPr>
              <w:spacing w:line="240" w:lineRule="auto"/>
              <w:jc w:val="right"/>
              <w:rPr>
                <w:b/>
                <w:bCs/>
                <w:color w:val="FFFFFF"/>
                <w:sz w:val="19"/>
                <w:szCs w:val="19"/>
                <w:lang w:val="en-IN" w:eastAsia="en-IN"/>
              </w:rPr>
            </w:pPr>
            <w:r w:rsidRPr="00F73EEB">
              <w:rPr>
                <w:b/>
                <w:bCs/>
                <w:color w:val="FFFFFF"/>
                <w:sz w:val="19"/>
                <w:szCs w:val="19"/>
                <w:lang w:val="en-IN" w:eastAsia="en-IN"/>
              </w:rPr>
              <w:t>3,167.9</w:t>
            </w:r>
            <w:r w:rsidRPr="00F73EEB">
              <w:rPr>
                <w:b/>
                <w:bCs/>
                <w:color w:val="FFFFFF"/>
                <w:sz w:val="19"/>
                <w:szCs w:val="19"/>
                <w:lang w:val="en-IN" w:eastAsia="en-IN"/>
              </w:rPr>
              <w:lastRenderedPageBreak/>
              <w:t>3</w:t>
            </w:r>
          </w:p>
        </w:tc>
        <w:tc>
          <w:tcPr>
            <w:tcW w:w="282" w:type="pct"/>
            <w:shd w:val="clear" w:color="000000" w:fill="44546A"/>
            <w:vAlign w:val="center"/>
            <w:hideMark/>
          </w:tcPr>
          <w:p w:rsidR="0037470F" w:rsidRPr="00F73EEB" w:rsidRDefault="0037470F" w:rsidP="00735CAB">
            <w:pPr>
              <w:spacing w:line="240" w:lineRule="auto"/>
              <w:jc w:val="right"/>
              <w:rPr>
                <w:b/>
                <w:bCs/>
                <w:color w:val="FFFFFF"/>
                <w:sz w:val="19"/>
                <w:szCs w:val="19"/>
                <w:lang w:val="en-IN" w:eastAsia="en-IN"/>
              </w:rPr>
            </w:pPr>
            <w:r w:rsidRPr="00F73EEB">
              <w:rPr>
                <w:b/>
                <w:bCs/>
                <w:color w:val="FFFFFF"/>
                <w:sz w:val="19"/>
                <w:szCs w:val="19"/>
                <w:lang w:val="en-IN" w:eastAsia="en-IN"/>
              </w:rPr>
              <w:lastRenderedPageBreak/>
              <w:t>3,256.38</w:t>
            </w:r>
          </w:p>
        </w:tc>
        <w:tc>
          <w:tcPr>
            <w:tcW w:w="310" w:type="pct"/>
            <w:shd w:val="clear" w:color="000000" w:fill="44546A"/>
            <w:vAlign w:val="center"/>
            <w:hideMark/>
          </w:tcPr>
          <w:p w:rsidR="0037470F" w:rsidRPr="00F73EEB" w:rsidRDefault="0037470F" w:rsidP="00735CAB">
            <w:pPr>
              <w:spacing w:line="240" w:lineRule="auto"/>
              <w:jc w:val="right"/>
              <w:rPr>
                <w:b/>
                <w:bCs/>
                <w:color w:val="FFFFFF"/>
                <w:sz w:val="19"/>
                <w:szCs w:val="19"/>
                <w:lang w:val="en-IN" w:eastAsia="en-IN"/>
              </w:rPr>
            </w:pPr>
            <w:r w:rsidRPr="00F73EEB">
              <w:rPr>
                <w:b/>
                <w:bCs/>
                <w:color w:val="FFFFFF"/>
                <w:sz w:val="19"/>
                <w:szCs w:val="19"/>
                <w:lang w:val="en-IN" w:eastAsia="en-IN"/>
              </w:rPr>
              <w:t>3,367.09</w:t>
            </w:r>
          </w:p>
        </w:tc>
        <w:tc>
          <w:tcPr>
            <w:tcW w:w="282" w:type="pct"/>
            <w:shd w:val="clear" w:color="000000" w:fill="44546A"/>
            <w:vAlign w:val="center"/>
            <w:hideMark/>
          </w:tcPr>
          <w:p w:rsidR="0037470F" w:rsidRPr="00F73EEB" w:rsidRDefault="0037470F" w:rsidP="00735CAB">
            <w:pPr>
              <w:spacing w:line="240" w:lineRule="auto"/>
              <w:jc w:val="right"/>
              <w:rPr>
                <w:b/>
                <w:bCs/>
                <w:color w:val="FFFFFF"/>
                <w:sz w:val="19"/>
                <w:szCs w:val="19"/>
                <w:lang w:val="en-IN" w:eastAsia="en-IN"/>
              </w:rPr>
            </w:pPr>
            <w:r w:rsidRPr="00F73EEB">
              <w:rPr>
                <w:b/>
                <w:bCs/>
                <w:color w:val="FFFFFF"/>
                <w:sz w:val="19"/>
                <w:szCs w:val="19"/>
                <w:lang w:val="en-IN" w:eastAsia="en-IN"/>
              </w:rPr>
              <w:t>3,496.28</w:t>
            </w:r>
          </w:p>
        </w:tc>
        <w:tc>
          <w:tcPr>
            <w:tcW w:w="282" w:type="pct"/>
            <w:shd w:val="clear" w:color="000000" w:fill="44546A"/>
            <w:vAlign w:val="center"/>
            <w:hideMark/>
          </w:tcPr>
          <w:p w:rsidR="0037470F" w:rsidRPr="0037470F" w:rsidRDefault="0037470F" w:rsidP="00735CAB">
            <w:pPr>
              <w:spacing w:line="240" w:lineRule="auto"/>
              <w:jc w:val="right"/>
              <w:rPr>
                <w:b/>
                <w:bCs/>
                <w:color w:val="FFFFFF"/>
                <w:sz w:val="19"/>
                <w:szCs w:val="19"/>
                <w:lang w:val="en-IN" w:eastAsia="en-IN"/>
              </w:rPr>
            </w:pPr>
            <w:r w:rsidRPr="0037470F">
              <w:rPr>
                <w:b/>
                <w:bCs/>
                <w:color w:val="FFFFFF"/>
                <w:sz w:val="19"/>
                <w:szCs w:val="19"/>
                <w:lang w:val="en-IN" w:eastAsia="en-IN"/>
              </w:rPr>
              <w:t>886.64</w:t>
            </w:r>
          </w:p>
        </w:tc>
        <w:tc>
          <w:tcPr>
            <w:tcW w:w="254" w:type="pct"/>
            <w:shd w:val="clear" w:color="000000" w:fill="44546A"/>
            <w:vAlign w:val="center"/>
            <w:hideMark/>
          </w:tcPr>
          <w:p w:rsidR="0037470F" w:rsidRPr="0037470F" w:rsidRDefault="0037470F" w:rsidP="00735CAB">
            <w:pPr>
              <w:spacing w:line="240" w:lineRule="auto"/>
              <w:jc w:val="right"/>
              <w:rPr>
                <w:b/>
                <w:bCs/>
                <w:color w:val="FFFFFF"/>
                <w:sz w:val="19"/>
                <w:szCs w:val="19"/>
                <w:lang w:val="en-IN" w:eastAsia="en-IN"/>
              </w:rPr>
            </w:pPr>
            <w:r w:rsidRPr="0037470F">
              <w:rPr>
                <w:b/>
                <w:bCs/>
                <w:color w:val="FFFFFF"/>
                <w:sz w:val="19"/>
                <w:szCs w:val="19"/>
                <w:lang w:val="en-IN" w:eastAsia="en-IN"/>
              </w:rPr>
              <w:t>906.14</w:t>
            </w:r>
          </w:p>
        </w:tc>
        <w:tc>
          <w:tcPr>
            <w:tcW w:w="282" w:type="pct"/>
            <w:shd w:val="clear" w:color="000000" w:fill="44546A"/>
            <w:vAlign w:val="center"/>
            <w:hideMark/>
          </w:tcPr>
          <w:p w:rsidR="0037470F" w:rsidRPr="0037470F" w:rsidRDefault="0037470F" w:rsidP="00735CAB">
            <w:pPr>
              <w:spacing w:line="240" w:lineRule="auto"/>
              <w:jc w:val="right"/>
              <w:rPr>
                <w:b/>
                <w:bCs/>
                <w:color w:val="FFFFFF"/>
                <w:sz w:val="19"/>
                <w:szCs w:val="19"/>
                <w:lang w:val="en-IN" w:eastAsia="en-IN"/>
              </w:rPr>
            </w:pPr>
            <w:r w:rsidRPr="0037470F">
              <w:rPr>
                <w:b/>
                <w:bCs/>
                <w:color w:val="FFFFFF"/>
                <w:sz w:val="19"/>
                <w:szCs w:val="19"/>
                <w:lang w:val="en-IN" w:eastAsia="en-IN"/>
              </w:rPr>
              <w:t>940.89</w:t>
            </w:r>
          </w:p>
        </w:tc>
        <w:tc>
          <w:tcPr>
            <w:tcW w:w="308" w:type="pct"/>
            <w:shd w:val="clear" w:color="000000" w:fill="44546A"/>
            <w:vAlign w:val="center"/>
            <w:hideMark/>
          </w:tcPr>
          <w:p w:rsidR="0037470F" w:rsidRPr="0037470F" w:rsidRDefault="0037470F" w:rsidP="00735CAB">
            <w:pPr>
              <w:spacing w:line="240" w:lineRule="auto"/>
              <w:jc w:val="right"/>
              <w:rPr>
                <w:b/>
                <w:bCs/>
                <w:color w:val="FFFFFF"/>
                <w:sz w:val="19"/>
                <w:szCs w:val="19"/>
                <w:lang w:val="en-IN" w:eastAsia="en-IN"/>
              </w:rPr>
            </w:pPr>
            <w:r w:rsidRPr="0037470F">
              <w:rPr>
                <w:b/>
                <w:bCs/>
                <w:color w:val="FFFFFF"/>
                <w:sz w:val="19"/>
                <w:szCs w:val="19"/>
                <w:lang w:val="en-IN" w:eastAsia="en-IN"/>
              </w:rPr>
              <w:t>1,016.45</w:t>
            </w:r>
          </w:p>
        </w:tc>
        <w:tc>
          <w:tcPr>
            <w:tcW w:w="260" w:type="pct"/>
            <w:shd w:val="clear" w:color="000000" w:fill="44546A"/>
            <w:vAlign w:val="center"/>
            <w:hideMark/>
          </w:tcPr>
          <w:p w:rsidR="0037470F" w:rsidRPr="0037470F" w:rsidRDefault="0037470F" w:rsidP="00735CAB">
            <w:pPr>
              <w:spacing w:line="240" w:lineRule="auto"/>
              <w:jc w:val="right"/>
              <w:rPr>
                <w:b/>
                <w:bCs/>
                <w:color w:val="FFFFFF"/>
                <w:sz w:val="19"/>
                <w:szCs w:val="19"/>
                <w:lang w:val="en-IN" w:eastAsia="en-IN"/>
              </w:rPr>
            </w:pPr>
            <w:r w:rsidRPr="0037470F">
              <w:rPr>
                <w:b/>
                <w:bCs/>
                <w:color w:val="FFFFFF"/>
                <w:sz w:val="19"/>
                <w:szCs w:val="19"/>
                <w:lang w:val="en-IN" w:eastAsia="en-IN"/>
              </w:rPr>
              <w:t>241.76</w:t>
            </w:r>
          </w:p>
        </w:tc>
        <w:tc>
          <w:tcPr>
            <w:tcW w:w="252" w:type="pct"/>
            <w:shd w:val="clear" w:color="000000" w:fill="44546A"/>
            <w:vAlign w:val="center"/>
            <w:hideMark/>
          </w:tcPr>
          <w:p w:rsidR="0037470F" w:rsidRPr="0037470F" w:rsidRDefault="0037470F" w:rsidP="00735CAB">
            <w:pPr>
              <w:spacing w:line="240" w:lineRule="auto"/>
              <w:jc w:val="right"/>
              <w:rPr>
                <w:b/>
                <w:bCs/>
                <w:color w:val="FFFFFF"/>
                <w:sz w:val="19"/>
                <w:szCs w:val="19"/>
                <w:lang w:val="en-IN" w:eastAsia="en-IN"/>
              </w:rPr>
            </w:pPr>
            <w:r w:rsidRPr="0037470F">
              <w:rPr>
                <w:b/>
                <w:bCs/>
                <w:color w:val="FFFFFF"/>
                <w:sz w:val="19"/>
                <w:szCs w:val="19"/>
                <w:lang w:val="en-IN" w:eastAsia="en-IN"/>
              </w:rPr>
              <w:t>251.43</w:t>
            </w:r>
          </w:p>
        </w:tc>
        <w:tc>
          <w:tcPr>
            <w:tcW w:w="254" w:type="pct"/>
            <w:shd w:val="clear" w:color="000000" w:fill="44546A"/>
            <w:vAlign w:val="center"/>
            <w:hideMark/>
          </w:tcPr>
          <w:p w:rsidR="0037470F" w:rsidRPr="0037470F" w:rsidRDefault="0037470F" w:rsidP="00735CAB">
            <w:pPr>
              <w:spacing w:line="240" w:lineRule="auto"/>
              <w:jc w:val="right"/>
              <w:rPr>
                <w:b/>
                <w:bCs/>
                <w:color w:val="FFFFFF"/>
                <w:sz w:val="19"/>
                <w:szCs w:val="19"/>
                <w:lang w:val="en-IN" w:eastAsia="en-IN"/>
              </w:rPr>
            </w:pPr>
            <w:r w:rsidRPr="0037470F">
              <w:rPr>
                <w:b/>
                <w:bCs/>
                <w:color w:val="FFFFFF"/>
                <w:sz w:val="19"/>
                <w:szCs w:val="19"/>
                <w:lang w:val="en-IN" w:eastAsia="en-IN"/>
              </w:rPr>
              <w:t>261.49</w:t>
            </w:r>
          </w:p>
        </w:tc>
        <w:tc>
          <w:tcPr>
            <w:tcW w:w="254" w:type="pct"/>
            <w:shd w:val="clear" w:color="000000" w:fill="44546A"/>
            <w:vAlign w:val="center"/>
            <w:hideMark/>
          </w:tcPr>
          <w:p w:rsidR="0037470F" w:rsidRPr="0037470F" w:rsidRDefault="0037470F" w:rsidP="00735CAB">
            <w:pPr>
              <w:spacing w:line="240" w:lineRule="auto"/>
              <w:jc w:val="right"/>
              <w:rPr>
                <w:b/>
                <w:bCs/>
                <w:color w:val="FFFFFF"/>
                <w:sz w:val="19"/>
                <w:szCs w:val="19"/>
                <w:lang w:val="en-IN" w:eastAsia="en-IN"/>
              </w:rPr>
            </w:pPr>
            <w:r w:rsidRPr="0037470F">
              <w:rPr>
                <w:b/>
                <w:bCs/>
                <w:color w:val="FFFFFF"/>
                <w:sz w:val="19"/>
                <w:szCs w:val="19"/>
                <w:lang w:val="en-IN" w:eastAsia="en-IN"/>
              </w:rPr>
              <w:t>271.95</w:t>
            </w:r>
          </w:p>
        </w:tc>
        <w:tc>
          <w:tcPr>
            <w:tcW w:w="282" w:type="pct"/>
            <w:shd w:val="clear" w:color="000000" w:fill="44546A"/>
            <w:vAlign w:val="center"/>
            <w:hideMark/>
          </w:tcPr>
          <w:p w:rsidR="0037470F" w:rsidRPr="0037470F" w:rsidRDefault="0037470F" w:rsidP="00735CAB">
            <w:pPr>
              <w:spacing w:line="240" w:lineRule="auto"/>
              <w:jc w:val="right"/>
              <w:rPr>
                <w:b/>
                <w:bCs/>
                <w:color w:val="FFFFFF"/>
                <w:sz w:val="19"/>
                <w:szCs w:val="19"/>
                <w:lang w:val="en-IN" w:eastAsia="en-IN"/>
              </w:rPr>
            </w:pPr>
            <w:r w:rsidRPr="0037470F">
              <w:rPr>
                <w:b/>
                <w:bCs/>
                <w:color w:val="FFFFFF"/>
                <w:sz w:val="19"/>
                <w:szCs w:val="19"/>
                <w:lang w:val="en-IN" w:eastAsia="en-IN"/>
              </w:rPr>
              <w:t>1,226.20</w:t>
            </w:r>
          </w:p>
        </w:tc>
        <w:tc>
          <w:tcPr>
            <w:tcW w:w="280" w:type="pct"/>
            <w:shd w:val="clear" w:color="000000" w:fill="44546A"/>
            <w:vAlign w:val="center"/>
            <w:hideMark/>
          </w:tcPr>
          <w:p w:rsidR="0037470F" w:rsidRPr="0037470F" w:rsidRDefault="0037470F" w:rsidP="00735CAB">
            <w:pPr>
              <w:spacing w:line="240" w:lineRule="auto"/>
              <w:jc w:val="right"/>
              <w:rPr>
                <w:b/>
                <w:bCs/>
                <w:color w:val="FFFFFF"/>
                <w:sz w:val="19"/>
                <w:szCs w:val="19"/>
                <w:lang w:val="en-IN" w:eastAsia="en-IN"/>
              </w:rPr>
            </w:pPr>
            <w:r w:rsidRPr="0037470F">
              <w:rPr>
                <w:b/>
                <w:bCs/>
                <w:color w:val="FFFFFF"/>
                <w:sz w:val="19"/>
                <w:szCs w:val="19"/>
                <w:lang w:val="en-IN" w:eastAsia="en-IN"/>
              </w:rPr>
              <w:t>1,297.3</w:t>
            </w:r>
            <w:r w:rsidRPr="0037470F">
              <w:rPr>
                <w:b/>
                <w:bCs/>
                <w:color w:val="FFFFFF"/>
                <w:sz w:val="19"/>
                <w:szCs w:val="19"/>
                <w:lang w:val="en-IN" w:eastAsia="en-IN"/>
              </w:rPr>
              <w:lastRenderedPageBreak/>
              <w:t>7</w:t>
            </w:r>
          </w:p>
        </w:tc>
        <w:tc>
          <w:tcPr>
            <w:tcW w:w="282" w:type="pct"/>
            <w:shd w:val="clear" w:color="000000" w:fill="44546A"/>
            <w:vAlign w:val="center"/>
            <w:hideMark/>
          </w:tcPr>
          <w:p w:rsidR="0037470F" w:rsidRPr="0037470F" w:rsidRDefault="0037470F" w:rsidP="00735CAB">
            <w:pPr>
              <w:spacing w:line="240" w:lineRule="auto"/>
              <w:jc w:val="right"/>
              <w:rPr>
                <w:b/>
                <w:bCs/>
                <w:color w:val="FFFFFF"/>
                <w:sz w:val="19"/>
                <w:szCs w:val="19"/>
                <w:lang w:val="en-IN" w:eastAsia="en-IN"/>
              </w:rPr>
            </w:pPr>
            <w:r w:rsidRPr="0037470F">
              <w:rPr>
                <w:b/>
                <w:bCs/>
                <w:color w:val="FFFFFF"/>
                <w:sz w:val="19"/>
                <w:szCs w:val="19"/>
                <w:lang w:val="en-IN" w:eastAsia="en-IN"/>
              </w:rPr>
              <w:lastRenderedPageBreak/>
              <w:t>1,394.07</w:t>
            </w:r>
          </w:p>
        </w:tc>
        <w:tc>
          <w:tcPr>
            <w:tcW w:w="272" w:type="pct"/>
            <w:shd w:val="clear" w:color="000000" w:fill="44546A"/>
            <w:vAlign w:val="center"/>
            <w:hideMark/>
          </w:tcPr>
          <w:p w:rsidR="0037470F" w:rsidRPr="0037470F" w:rsidRDefault="0037470F" w:rsidP="00735CAB">
            <w:pPr>
              <w:spacing w:line="240" w:lineRule="auto"/>
              <w:jc w:val="right"/>
              <w:rPr>
                <w:b/>
                <w:bCs/>
                <w:color w:val="FFFFFF"/>
                <w:sz w:val="19"/>
                <w:szCs w:val="19"/>
                <w:lang w:val="en-IN" w:eastAsia="en-IN"/>
              </w:rPr>
            </w:pPr>
            <w:r w:rsidRPr="0037470F">
              <w:rPr>
                <w:b/>
                <w:bCs/>
                <w:color w:val="FFFFFF"/>
                <w:sz w:val="19"/>
                <w:szCs w:val="19"/>
                <w:lang w:val="en-IN" w:eastAsia="en-IN"/>
              </w:rPr>
              <w:t>1,479.9</w:t>
            </w:r>
            <w:r w:rsidRPr="0037470F">
              <w:rPr>
                <w:b/>
                <w:bCs/>
                <w:color w:val="FFFFFF"/>
                <w:sz w:val="19"/>
                <w:szCs w:val="19"/>
                <w:lang w:val="en-IN" w:eastAsia="en-IN"/>
              </w:rPr>
              <w:lastRenderedPageBreak/>
              <w:t>9</w:t>
            </w:r>
          </w:p>
        </w:tc>
      </w:tr>
    </w:tbl>
    <w:p w:rsidR="00B03BB4" w:rsidRDefault="00B03BB4" w:rsidP="00EA26CF">
      <w:pPr>
        <w:pStyle w:val="EDNormal"/>
        <w:jc w:val="center"/>
        <w:sectPr w:rsidR="00B03BB4" w:rsidSect="00C94FCA">
          <w:headerReference w:type="default" r:id="rId34"/>
          <w:footerReference w:type="default" r:id="rId35"/>
          <w:pgSz w:w="16834" w:h="11909" w:orient="landscape" w:code="9"/>
          <w:pgMar w:top="1110" w:right="724" w:bottom="1440" w:left="810" w:header="288" w:footer="765" w:gutter="0"/>
          <w:cols w:space="720"/>
          <w:docGrid w:linePitch="360"/>
        </w:sectPr>
      </w:pPr>
    </w:p>
    <w:p w:rsidR="00337C5E" w:rsidRPr="005A11EE" w:rsidRDefault="00E73D64">
      <w:pPr>
        <w:pStyle w:val="ED-H1"/>
      </w:pPr>
      <w:bookmarkStart w:id="122" w:name="_Toc523724491"/>
      <w:r w:rsidRPr="005A11EE">
        <w:lastRenderedPageBreak/>
        <w:t>CAPITAL EXPENDITURE</w:t>
      </w:r>
      <w:bookmarkEnd w:id="122"/>
    </w:p>
    <w:p w:rsidR="009F77B6" w:rsidRPr="009F77B6" w:rsidRDefault="009F77B6" w:rsidP="009F77B6">
      <w:pPr>
        <w:pStyle w:val="EDNormal"/>
      </w:pPr>
    </w:p>
    <w:p w:rsidR="002605AE" w:rsidRPr="002605AE" w:rsidRDefault="002605AE" w:rsidP="002605AE">
      <w:pPr>
        <w:pStyle w:val="EDNormal"/>
      </w:pPr>
      <w:r>
        <w:t xml:space="preserve">The distribution network of </w:t>
      </w:r>
      <w:r w:rsidR="006528AF">
        <w:t>PED</w:t>
      </w:r>
      <w:r>
        <w:t xml:space="preserve"> is</w:t>
      </w:r>
      <w:r w:rsidRPr="002605AE">
        <w:t xml:space="preserve"> old and it has been continuously upgrading and strengthening its network to cater quality and reliable power services to its increasing consumer base.</w:t>
      </w:r>
    </w:p>
    <w:p w:rsidR="002605AE" w:rsidRPr="002605AE" w:rsidRDefault="002605AE" w:rsidP="002605AE">
      <w:pPr>
        <w:pStyle w:val="EDNormal"/>
      </w:pPr>
    </w:p>
    <w:p w:rsidR="00E73D64" w:rsidRPr="009F77B6" w:rsidRDefault="002605AE" w:rsidP="00C07E3D">
      <w:pPr>
        <w:pStyle w:val="EDNormal"/>
      </w:pPr>
      <w:r>
        <w:t xml:space="preserve">The distribution network of </w:t>
      </w:r>
      <w:r w:rsidR="006528AF">
        <w:t>PED</w:t>
      </w:r>
      <w:r w:rsidRPr="002605AE">
        <w:t xml:space="preserve"> needs to be developed and strengthened in such a way that demand of such </w:t>
      </w:r>
      <w:r>
        <w:t xml:space="preserve">rising </w:t>
      </w:r>
      <w:r w:rsidRPr="002605AE">
        <w:t>consumers can be met. The majority of the capital expenditure</w:t>
      </w:r>
      <w:r>
        <w:t xml:space="preserve"> during the control period</w:t>
      </w:r>
      <w:r w:rsidRPr="002605AE">
        <w:t xml:space="preserve"> is required to address this demand requirement.</w:t>
      </w:r>
      <w:r w:rsidR="00E73D64" w:rsidRPr="009F77B6">
        <w:t xml:space="preserve">This section discusses the scheme wise capital expenditure </w:t>
      </w:r>
      <w:r w:rsidR="00C07E3D">
        <w:t>and funding of the same</w:t>
      </w:r>
      <w:r w:rsidR="00E73D64" w:rsidRPr="009F77B6">
        <w:t xml:space="preserve">to be carried out by </w:t>
      </w:r>
      <w:r w:rsidR="006528AF">
        <w:t>PED</w:t>
      </w:r>
      <w:r w:rsidR="00C07E3D">
        <w:t xml:space="preserve"> for the MYT</w:t>
      </w:r>
      <w:r w:rsidR="00E73D64" w:rsidRPr="009F77B6">
        <w:t xml:space="preserve"> control period.</w:t>
      </w:r>
    </w:p>
    <w:p w:rsidR="00E73D64" w:rsidRDefault="00E73D64" w:rsidP="00E73D64">
      <w:pPr>
        <w:pStyle w:val="EDNormal"/>
      </w:pPr>
    </w:p>
    <w:p w:rsidR="00337C5E" w:rsidRDefault="00E73D64">
      <w:pPr>
        <w:pStyle w:val="ED-H2"/>
        <w:rPr>
          <w:b w:val="0"/>
          <w:lang w:val="en-GB"/>
        </w:rPr>
      </w:pPr>
      <w:bookmarkStart w:id="123" w:name="_Toc523724492"/>
      <w:r w:rsidRPr="004312E9">
        <w:rPr>
          <w:lang w:val="en-GB"/>
        </w:rPr>
        <w:t>Details of Capital Expenditure</w:t>
      </w:r>
      <w:bookmarkEnd w:id="123"/>
    </w:p>
    <w:p w:rsidR="00337C5E" w:rsidRDefault="006528AF">
      <w:pPr>
        <w:pStyle w:val="ED-H3"/>
      </w:pPr>
      <w:r>
        <w:t>PED</w:t>
      </w:r>
      <w:r w:rsidR="00E73D64" w:rsidRPr="008B1B56">
        <w:t xml:space="preserve"> plans to carry out the capital expenditure durin</w:t>
      </w:r>
      <w:r w:rsidR="00F106D2">
        <w:t xml:space="preserve">g the control period for </w:t>
      </w:r>
      <w:r w:rsidR="00E73D64" w:rsidRPr="008B1B56">
        <w:t>augment</w:t>
      </w:r>
      <w:r w:rsidR="00F106D2">
        <w:t>ation and expansion of</w:t>
      </w:r>
      <w:r w:rsidR="00E73D64" w:rsidRPr="008B1B56">
        <w:t xml:space="preserve"> its capacity and to reduce the </w:t>
      </w:r>
      <w:r w:rsidR="00F106D2">
        <w:t xml:space="preserve">transmission and distribution </w:t>
      </w:r>
      <w:r w:rsidR="00E73D64" w:rsidRPr="008B1B56">
        <w:t>loss in the system</w:t>
      </w:r>
      <w:r w:rsidR="00F106D2">
        <w:t>. The works to be carried out are</w:t>
      </w:r>
      <w:r w:rsidR="00E73D64" w:rsidRPr="008B1B56">
        <w:t xml:space="preserve"> with an intention to maintain a reliable and efficient system.</w:t>
      </w:r>
    </w:p>
    <w:p w:rsidR="00E73D64" w:rsidRPr="008B1B56" w:rsidRDefault="00E73D64" w:rsidP="009F77B6">
      <w:pPr>
        <w:pStyle w:val="EDNormal"/>
        <w:rPr>
          <w:bCs/>
        </w:rPr>
      </w:pPr>
    </w:p>
    <w:p w:rsidR="00337C5E" w:rsidRDefault="00E73D64">
      <w:pPr>
        <w:pStyle w:val="ED-H3"/>
      </w:pPr>
      <w:r w:rsidRPr="008B1B56">
        <w:t xml:space="preserve"> The following are the proposed capital expenditure to be carried out in the upcoming years of the control period.</w:t>
      </w:r>
    </w:p>
    <w:p w:rsidR="00337C5E" w:rsidRDefault="00E73D64" w:rsidP="00061AA6">
      <w:pPr>
        <w:pStyle w:val="Caption"/>
      </w:pPr>
      <w:bookmarkStart w:id="124" w:name="_Toc523719582"/>
      <w:r>
        <w:lastRenderedPageBreak/>
        <w:t>Table</w:t>
      </w:r>
      <w:r w:rsidR="00140E1B">
        <w:fldChar w:fldCharType="begin"/>
      </w:r>
      <w:r w:rsidR="00C94F42">
        <w:instrText xml:space="preserve"> SEQ Table \* ARABIC </w:instrText>
      </w:r>
      <w:r w:rsidR="00140E1B">
        <w:fldChar w:fldCharType="separate"/>
      </w:r>
      <w:r w:rsidR="004B7EE5">
        <w:rPr>
          <w:noProof/>
        </w:rPr>
        <w:t>23</w:t>
      </w:r>
      <w:r w:rsidR="00140E1B">
        <w:rPr>
          <w:noProof/>
        </w:rPr>
        <w:fldChar w:fldCharType="end"/>
      </w:r>
      <w:r>
        <w:t>: Proposed Capital Expenditure for Control Period</w:t>
      </w:r>
      <w:bookmarkEnd w:id="124"/>
    </w:p>
    <w:p w:rsidR="00A10DBA" w:rsidRPr="00A10DBA" w:rsidRDefault="008770D9" w:rsidP="007274DF">
      <w:pPr>
        <w:jc w:val="center"/>
      </w:pPr>
      <w:r>
        <w:object w:dxaOrig="8546" w:dyaOrig="9081">
          <v:shape id="_x0000_i1033" type="#_x0000_t75" style="width:425.55pt;height:454.55pt" o:ole="">
            <v:imagedata r:id="rId36" o:title=""/>
          </v:shape>
          <o:OLEObject Type="Embed" ProgID="Excel.Sheet.12" ShapeID="_x0000_i1033" DrawAspect="Content" ObjectID="_1598429503" r:id="rId37"/>
        </w:object>
      </w:r>
    </w:p>
    <w:p w:rsidR="007274DF" w:rsidRDefault="007274DF" w:rsidP="007274DF">
      <w:pPr>
        <w:pStyle w:val="ED-H3"/>
        <w:numPr>
          <w:ilvl w:val="0"/>
          <w:numId w:val="0"/>
        </w:numPr>
        <w:ind w:left="720"/>
      </w:pPr>
    </w:p>
    <w:p w:rsidR="00337C5E" w:rsidRDefault="00536E41">
      <w:pPr>
        <w:pStyle w:val="ED-H3"/>
      </w:pPr>
      <w:r>
        <w:t xml:space="preserve">Detailed </w:t>
      </w:r>
      <w:r w:rsidR="00F106D2">
        <w:t xml:space="preserve">scheme wise </w:t>
      </w:r>
      <w:r>
        <w:t>capital expenditure is given in</w:t>
      </w:r>
      <w:r w:rsidR="00A350BF" w:rsidRPr="002816F1">
        <w:t>Annexure 4</w:t>
      </w:r>
      <w:r w:rsidR="004D5C0E">
        <w:t xml:space="preserve">, </w:t>
      </w:r>
      <w:r w:rsidR="00A350BF">
        <w:t>Annexure 5</w:t>
      </w:r>
      <w:r w:rsidR="004D5C0E">
        <w:t xml:space="preserve"> and</w:t>
      </w:r>
      <w:r w:rsidR="00A350BF">
        <w:t xml:space="preserve"> Annexure 6</w:t>
      </w:r>
      <w:r w:rsidR="00FA6D1C">
        <w:t>.</w:t>
      </w:r>
    </w:p>
    <w:p w:rsidR="00536E41" w:rsidRDefault="00536E41" w:rsidP="009F77B6">
      <w:pPr>
        <w:pStyle w:val="EDNormal"/>
        <w:rPr>
          <w:bCs/>
        </w:rPr>
      </w:pPr>
    </w:p>
    <w:p w:rsidR="007F7693" w:rsidRPr="00A37206" w:rsidRDefault="007F7693" w:rsidP="007F7693">
      <w:pPr>
        <w:pStyle w:val="ED-H3"/>
      </w:pPr>
      <w:r w:rsidRPr="00A37206">
        <w:t>As seen from the table above, majority of capital expenditure is diverted towards establishment of new substations and system strengthening schemes under R-APDRP, IPDS, DDUGJY and PSDF. Also</w:t>
      </w:r>
      <w:r w:rsidRPr="00E1794A">
        <w:t xml:space="preserve"> significant amount of capital expenditure is towards renovation and modernization</w:t>
      </w:r>
      <w:r>
        <w:t xml:space="preserve"> /</w:t>
      </w:r>
      <w:r w:rsidRPr="00E1794A">
        <w:t xml:space="preserve"> augmentation of system capacity. The proposed capital expenditure will definitely be helpful to achieve the loss targets set by </w:t>
      </w:r>
      <w:r>
        <w:t>PED</w:t>
      </w:r>
      <w:r w:rsidRPr="00E1794A">
        <w:t xml:space="preserve"> in its distribution loss trajectory</w:t>
      </w:r>
      <w:r>
        <w:t xml:space="preserve"> and to meet any additional load surging due to increase in demand</w:t>
      </w:r>
      <w:r w:rsidRPr="00E1794A">
        <w:t>.</w:t>
      </w:r>
    </w:p>
    <w:p w:rsidR="007F7693" w:rsidRDefault="007F7693" w:rsidP="007F7693">
      <w:pPr>
        <w:pStyle w:val="ED-H3"/>
        <w:numPr>
          <w:ilvl w:val="0"/>
          <w:numId w:val="0"/>
        </w:numPr>
        <w:rPr>
          <w:highlight w:val="yellow"/>
        </w:rPr>
      </w:pPr>
    </w:p>
    <w:p w:rsidR="001D660C" w:rsidRPr="001D660C" w:rsidRDefault="001D660C" w:rsidP="001D660C">
      <w:pPr>
        <w:pStyle w:val="EDNormal"/>
        <w:rPr>
          <w:highlight w:val="yellow"/>
          <w:lang w:val="en-IN" w:bidi="hi-IN"/>
        </w:rPr>
      </w:pPr>
    </w:p>
    <w:p w:rsidR="007F7693" w:rsidRPr="00A37206" w:rsidRDefault="007F7693" w:rsidP="007F7693">
      <w:pPr>
        <w:pStyle w:val="ED-H2"/>
      </w:pPr>
      <w:bookmarkStart w:id="125" w:name="_Toc523724493"/>
      <w:r>
        <w:lastRenderedPageBreak/>
        <w:t>Brief overview of various schemes planned by PED</w:t>
      </w:r>
      <w:bookmarkEnd w:id="125"/>
    </w:p>
    <w:p w:rsidR="007F7693" w:rsidRPr="007274DF" w:rsidRDefault="007F7693" w:rsidP="007F7693">
      <w:pPr>
        <w:pStyle w:val="ED-H3"/>
        <w:rPr>
          <w:b/>
          <w:i/>
          <w:iCs w:val="0"/>
        </w:rPr>
      </w:pPr>
      <w:r w:rsidRPr="007274DF">
        <w:rPr>
          <w:b/>
          <w:i/>
          <w:iCs w:val="0"/>
        </w:rPr>
        <w:t>R-APDRP Scheme</w:t>
      </w:r>
    </w:p>
    <w:p w:rsidR="007F7693" w:rsidRDefault="007F7693" w:rsidP="007F7693">
      <w:pPr>
        <w:pStyle w:val="ED-H4"/>
      </w:pPr>
      <w:r w:rsidRPr="005926BB">
        <w:t>The Ministry of Power/Government of India, in its 11th five year plan had launched the Restructured APDRP scheme. The objective of the Restructured APDRP Scheme isto provide quality and reliable power supply to the consumers and to bring down the AT&amp;C losses.</w:t>
      </w:r>
    </w:p>
    <w:p w:rsidR="007F7693" w:rsidRPr="009F77B6" w:rsidRDefault="007F7693" w:rsidP="007F7693">
      <w:pPr>
        <w:pStyle w:val="EDNormal"/>
      </w:pPr>
    </w:p>
    <w:p w:rsidR="007F7693" w:rsidRDefault="007F7693" w:rsidP="007F7693">
      <w:pPr>
        <w:pStyle w:val="ED-H4"/>
      </w:pPr>
      <w:r w:rsidRPr="005926BB">
        <w:t>Restructured Accelerated Power Development and Reforms Programme (R-APDRP) focuses on:</w:t>
      </w:r>
    </w:p>
    <w:p w:rsidR="007F7693" w:rsidRPr="0099768B" w:rsidRDefault="007F7693" w:rsidP="007F7693">
      <w:pPr>
        <w:pStyle w:val="NoSpacing"/>
        <w:widowControl w:val="0"/>
        <w:numPr>
          <w:ilvl w:val="0"/>
          <w:numId w:val="21"/>
        </w:numPr>
        <w:spacing w:before="60" w:after="60" w:line="276" w:lineRule="auto"/>
        <w:jc w:val="both"/>
        <w:rPr>
          <w:rFonts w:cs="Arial"/>
          <w:szCs w:val="26"/>
          <w:lang w:bidi="hi-IN"/>
        </w:rPr>
      </w:pPr>
      <w:r w:rsidRPr="0099768B">
        <w:rPr>
          <w:rFonts w:cs="Arial"/>
          <w:szCs w:val="26"/>
          <w:lang w:bidi="hi-IN"/>
        </w:rPr>
        <w:t>Actual demonstrable performance in loss reduction;</w:t>
      </w:r>
    </w:p>
    <w:p w:rsidR="007F7693" w:rsidRPr="0099768B" w:rsidRDefault="007F7693" w:rsidP="007F7693">
      <w:pPr>
        <w:pStyle w:val="NoSpacing"/>
        <w:widowControl w:val="0"/>
        <w:numPr>
          <w:ilvl w:val="0"/>
          <w:numId w:val="21"/>
        </w:numPr>
        <w:spacing w:before="60" w:after="60" w:line="276" w:lineRule="auto"/>
        <w:jc w:val="both"/>
        <w:rPr>
          <w:rFonts w:cs="Arial"/>
          <w:szCs w:val="26"/>
          <w:lang w:bidi="hi-IN"/>
        </w:rPr>
      </w:pPr>
      <w:r w:rsidRPr="0099768B">
        <w:rPr>
          <w:rFonts w:cs="Arial"/>
          <w:szCs w:val="26"/>
          <w:lang w:bidi="hi-IN"/>
        </w:rPr>
        <w:t xml:space="preserve">Establishment of reliable and automated systems for sustained collection of accurate base line Data and </w:t>
      </w:r>
    </w:p>
    <w:p w:rsidR="007F7693" w:rsidRDefault="007F7693" w:rsidP="007F7693">
      <w:pPr>
        <w:pStyle w:val="NoSpacing"/>
        <w:widowControl w:val="0"/>
        <w:numPr>
          <w:ilvl w:val="0"/>
          <w:numId w:val="21"/>
        </w:numPr>
        <w:spacing w:before="60" w:after="60" w:line="276" w:lineRule="auto"/>
        <w:jc w:val="both"/>
        <w:rPr>
          <w:rFonts w:cs="Arial"/>
          <w:szCs w:val="26"/>
          <w:lang w:bidi="hi-IN"/>
        </w:rPr>
      </w:pPr>
      <w:r w:rsidRPr="0099768B">
        <w:rPr>
          <w:rFonts w:cs="Arial"/>
          <w:szCs w:val="26"/>
          <w:lang w:bidi="hi-IN"/>
        </w:rPr>
        <w:t xml:space="preserve">Adoption of information Technology in the areas of Accounting and auditing which will enable objective evaluation of the programme of utility before and after Implementation of the programme.  </w:t>
      </w:r>
    </w:p>
    <w:p w:rsidR="007F7693" w:rsidRPr="009F77B6" w:rsidRDefault="007F7693" w:rsidP="007F7693">
      <w:pPr>
        <w:pStyle w:val="EDNormal"/>
      </w:pPr>
    </w:p>
    <w:p w:rsidR="007F7693" w:rsidRDefault="007F7693" w:rsidP="007F7693">
      <w:pPr>
        <w:pStyle w:val="ED-H4"/>
      </w:pPr>
      <w:r w:rsidRPr="0099768B">
        <w:t xml:space="preserve">It is a centrally sponsored scheme. Under the programme, the Government of India has sanctioned projects that aim at establishment of reliable and automated systems for sustained collection of accurate base line data and the adoption of information technology in the area of energy accounting. </w:t>
      </w:r>
      <w:r>
        <w:t>The Power Finance Corporation has been nominated as the nodal agency to make the above program operational.</w:t>
      </w:r>
    </w:p>
    <w:p w:rsidR="007F7693" w:rsidRPr="00306481" w:rsidRDefault="007F7693" w:rsidP="007F7693">
      <w:pPr>
        <w:pStyle w:val="EDNormal"/>
      </w:pPr>
    </w:p>
    <w:p w:rsidR="007F7693" w:rsidRDefault="007F7693" w:rsidP="007F7693">
      <w:pPr>
        <w:pStyle w:val="ED-H4"/>
      </w:pPr>
      <w:r>
        <w:t>The project is being</w:t>
      </w:r>
      <w:r w:rsidRPr="005926BB">
        <w:t xml:space="preserve"> carried out in two parts where</w:t>
      </w:r>
    </w:p>
    <w:p w:rsidR="007F7693" w:rsidRDefault="007F7693" w:rsidP="007F7693">
      <w:pPr>
        <w:pStyle w:val="Heading4"/>
        <w:numPr>
          <w:ilvl w:val="0"/>
          <w:numId w:val="0"/>
        </w:numPr>
        <w:ind w:left="1080"/>
      </w:pPr>
      <w:r w:rsidRPr="005926BB">
        <w:t>PART A:</w:t>
      </w:r>
      <w:r>
        <w:t xml:space="preserve"> will cover preparation of base-line data for the project area covering consumer indexing, GIS mapping, metering of distribution transformers and feeders and automatic data logging for all distribution transformers and feeders. It will also include adoption of IT applications for meter reading, billing and collection, energy accounting and auditing.</w:t>
      </w:r>
    </w:p>
    <w:p w:rsidR="007F7693" w:rsidRPr="005926BB" w:rsidRDefault="007F7693" w:rsidP="007F7693">
      <w:pPr>
        <w:pStyle w:val="EDNormal"/>
        <w:rPr>
          <w:bCs/>
        </w:rPr>
      </w:pPr>
    </w:p>
    <w:p w:rsidR="007F7693" w:rsidRDefault="007F7693" w:rsidP="007F7693">
      <w:pPr>
        <w:pStyle w:val="Heading4"/>
        <w:numPr>
          <w:ilvl w:val="0"/>
          <w:numId w:val="0"/>
        </w:numPr>
        <w:ind w:left="1080"/>
      </w:pPr>
      <w:r w:rsidRPr="005926BB">
        <w:t>PART B:</w:t>
      </w:r>
      <w:r>
        <w:t xml:space="preserve"> covers renovation, modernisation and strengthening of 11kV Sub Station and distribution systems.</w:t>
      </w:r>
    </w:p>
    <w:p w:rsidR="007F7693" w:rsidRDefault="007F7693" w:rsidP="007F7693">
      <w:pPr>
        <w:pStyle w:val="EDNormal"/>
        <w:rPr>
          <w:bCs/>
        </w:rPr>
      </w:pPr>
    </w:p>
    <w:p w:rsidR="007F7693" w:rsidRDefault="007F7693" w:rsidP="007F7693">
      <w:pPr>
        <w:pStyle w:val="ED-H4"/>
      </w:pPr>
      <w:r>
        <w:t>Puducherry will be sharing Data Centre and Data Recovery Centre with Tamil Nadu as suggested by PFC and has appointed M/s ITI, Bangalore in consortium with M/s Navayuga Infotech Pvt. Ltd as the IT implementing agency (ITIA).</w:t>
      </w:r>
    </w:p>
    <w:p w:rsidR="007F7693" w:rsidRPr="00A37206" w:rsidRDefault="007F7693" w:rsidP="007F7693">
      <w:pPr>
        <w:pStyle w:val="EDNormal"/>
        <w:rPr>
          <w:lang w:val="en-IN"/>
        </w:rPr>
      </w:pPr>
    </w:p>
    <w:p w:rsidR="007F7693" w:rsidRPr="002A7225" w:rsidRDefault="007F7693" w:rsidP="007F7693">
      <w:pPr>
        <w:pStyle w:val="ED-H4"/>
      </w:pPr>
      <w:r w:rsidRPr="002A7225">
        <w:t>Present Status of the Programme:</w:t>
      </w:r>
    </w:p>
    <w:p w:rsidR="007F7693" w:rsidRPr="002A7225" w:rsidRDefault="007F7693" w:rsidP="007F7693">
      <w:pPr>
        <w:pStyle w:val="EDNormal"/>
        <w:numPr>
          <w:ilvl w:val="0"/>
          <w:numId w:val="33"/>
        </w:numPr>
        <w:rPr>
          <w:lang w:val="en-IN"/>
        </w:rPr>
      </w:pPr>
      <w:r w:rsidRPr="002A7225">
        <w:rPr>
          <w:lang w:val="en-IN"/>
        </w:rPr>
        <w:t xml:space="preserve">Survey of consumer indexing, Preparation of Design document for installation </w:t>
      </w:r>
      <w:r w:rsidRPr="002A7225">
        <w:rPr>
          <w:lang w:val="en-IN"/>
        </w:rPr>
        <w:lastRenderedPageBreak/>
        <w:t>of hardware and peripherals, Finalisation of Network Service Provider, Supply of Hardware were completed</w:t>
      </w:r>
    </w:p>
    <w:p w:rsidR="007F7693" w:rsidRPr="002A7225" w:rsidRDefault="007F7693" w:rsidP="007F7693">
      <w:pPr>
        <w:pStyle w:val="EDNormal"/>
        <w:numPr>
          <w:ilvl w:val="0"/>
          <w:numId w:val="33"/>
        </w:numPr>
        <w:rPr>
          <w:lang w:val="en-IN"/>
        </w:rPr>
      </w:pPr>
      <w:r w:rsidRPr="002A7225">
        <w:rPr>
          <w:lang w:val="en-IN"/>
        </w:rPr>
        <w:t>Currently, the scheme is stalled due to litigation between M/s Navayuga, ITIA and TANGEDCO</w:t>
      </w:r>
    </w:p>
    <w:p w:rsidR="007F7693" w:rsidRDefault="007F7693" w:rsidP="007F7693">
      <w:pPr>
        <w:pStyle w:val="EDNormal"/>
        <w:numPr>
          <w:ilvl w:val="0"/>
          <w:numId w:val="33"/>
        </w:numPr>
        <w:rPr>
          <w:lang w:val="en-IN"/>
        </w:rPr>
      </w:pPr>
      <w:r w:rsidRPr="002A7225">
        <w:rPr>
          <w:lang w:val="en-IN"/>
        </w:rPr>
        <w:t>The time line for completion of the project has been extended upto 31-12-2018</w:t>
      </w:r>
      <w:r>
        <w:rPr>
          <w:lang w:val="en-IN"/>
        </w:rPr>
        <w:t xml:space="preserve"> for R-APDRP (Part-A) and upto March 2019 for R-APDRP (Part-B)</w:t>
      </w:r>
    </w:p>
    <w:p w:rsidR="007F7693" w:rsidRPr="002A7225" w:rsidRDefault="007F7693" w:rsidP="007F7693">
      <w:pPr>
        <w:pStyle w:val="EDNormal"/>
        <w:ind w:left="1440"/>
        <w:rPr>
          <w:lang w:val="en-IN"/>
        </w:rPr>
      </w:pPr>
    </w:p>
    <w:p w:rsidR="007F7693" w:rsidRPr="007274DF" w:rsidRDefault="007F7693" w:rsidP="007F7693">
      <w:pPr>
        <w:pStyle w:val="ED-H3"/>
        <w:rPr>
          <w:b/>
          <w:bCs w:val="0"/>
          <w:i/>
          <w:iCs w:val="0"/>
        </w:rPr>
      </w:pPr>
      <w:r w:rsidRPr="007274DF">
        <w:rPr>
          <w:b/>
          <w:bCs w:val="0"/>
          <w:i/>
          <w:iCs w:val="0"/>
        </w:rPr>
        <w:t>Loan from JICA Loan</w:t>
      </w:r>
    </w:p>
    <w:p w:rsidR="007F7693" w:rsidRDefault="007F7693" w:rsidP="007F7693">
      <w:pPr>
        <w:pStyle w:val="ED-H4"/>
      </w:pPr>
      <w:r>
        <w:t xml:space="preserve">PED is planning on availing loan from Japan International Cooperation Agency (JICA) for upgrading/ carrying out significant improvement in the transmission and distribution network in the UT of Puducherry with a long term goal to meet the growing demand in the years to come and to design a system with lower T&amp;D loss. </w:t>
      </w:r>
    </w:p>
    <w:p w:rsidR="007F7693" w:rsidRDefault="007F7693" w:rsidP="007F7693">
      <w:pPr>
        <w:pStyle w:val="EDNormal"/>
        <w:rPr>
          <w:bCs/>
        </w:rPr>
      </w:pPr>
    </w:p>
    <w:p w:rsidR="007F7693" w:rsidRDefault="007F7693" w:rsidP="007F7693">
      <w:pPr>
        <w:pStyle w:val="ED-H4"/>
      </w:pPr>
      <w:r>
        <w:t xml:space="preserve">Snapshot of the proposed JICA loan: </w:t>
      </w:r>
    </w:p>
    <w:p w:rsidR="007F7693" w:rsidRPr="00E56E45" w:rsidRDefault="007F7693" w:rsidP="007F7693">
      <w:pPr>
        <w:pStyle w:val="EDNormal"/>
        <w:numPr>
          <w:ilvl w:val="0"/>
          <w:numId w:val="12"/>
        </w:numPr>
        <w:ind w:left="1440"/>
      </w:pPr>
      <w:r w:rsidRPr="00E56E45">
        <w:t xml:space="preserve">A cost estimate for executing various </w:t>
      </w:r>
      <w:r>
        <w:t>transmission and d</w:t>
      </w:r>
      <w:r w:rsidRPr="00E56E45">
        <w:t>istr</w:t>
      </w:r>
      <w:r>
        <w:t xml:space="preserve">ibution works </w:t>
      </w:r>
      <w:r w:rsidRPr="00E56E45">
        <w:t>amount</w:t>
      </w:r>
      <w:r>
        <w:t>ing toRs. 983.43 Cr.</w:t>
      </w:r>
    </w:p>
    <w:p w:rsidR="007F7693" w:rsidRDefault="007F7693" w:rsidP="007F7693">
      <w:pPr>
        <w:pStyle w:val="EDNormal"/>
        <w:numPr>
          <w:ilvl w:val="0"/>
          <w:numId w:val="12"/>
        </w:numPr>
        <w:ind w:left="1440"/>
      </w:pPr>
      <w:r w:rsidRPr="00220D29">
        <w:t>The cost of works in the transmissio</w:t>
      </w:r>
      <w:r>
        <w:t>n system is estimated at Rs. 377.413</w:t>
      </w:r>
      <w:r w:rsidRPr="00220D29">
        <w:t xml:space="preserve"> Cr primarily focusing on provision of new substations, augmentation of substations, renovation and modernization of existing substations including new transmission lines, EHV cable system and capacitor banks.</w:t>
      </w:r>
    </w:p>
    <w:p w:rsidR="007F7693" w:rsidRDefault="007F7693" w:rsidP="007F7693">
      <w:pPr>
        <w:pStyle w:val="EDNormal"/>
        <w:numPr>
          <w:ilvl w:val="0"/>
          <w:numId w:val="12"/>
        </w:numPr>
        <w:ind w:left="1440"/>
      </w:pPr>
      <w:r w:rsidRPr="00220D29">
        <w:t xml:space="preserve">The works for distribution system strengthening is </w:t>
      </w:r>
      <w:r>
        <w:t>estimated at Rs. 369.125</w:t>
      </w:r>
      <w:r w:rsidRPr="00220D29">
        <w:t xml:space="preserve"> Cr covering provision of new HT Feeders, HT and LT cables, high voltage distribution  system (HVDS), automatic power factor controller (APFC panels) in distribution transformer’s (DT’s),  new DT’s and replacement of aged transformers with energy efficient DT’s and AMR/AMI Metering System.</w:t>
      </w:r>
    </w:p>
    <w:p w:rsidR="007F7693" w:rsidRPr="00220D29" w:rsidRDefault="007F7693" w:rsidP="007F7693">
      <w:pPr>
        <w:pStyle w:val="EDNormal"/>
        <w:numPr>
          <w:ilvl w:val="0"/>
          <w:numId w:val="12"/>
        </w:numPr>
        <w:ind w:left="1440"/>
      </w:pPr>
      <w:r>
        <w:t>The works for solar power distribution is estimated at Rs. 236.90 Cr</w:t>
      </w:r>
    </w:p>
    <w:p w:rsidR="007F7693" w:rsidRDefault="007F7693" w:rsidP="007F7693">
      <w:pPr>
        <w:pStyle w:val="EDNormal"/>
        <w:numPr>
          <w:ilvl w:val="0"/>
          <w:numId w:val="12"/>
        </w:numPr>
        <w:ind w:left="1440"/>
      </w:pPr>
      <w:r w:rsidRPr="00E56E45">
        <w:t>The above improvement works are planned for long term and the wor</w:t>
      </w:r>
      <w:r>
        <w:t>ks are to be planned accordingly.</w:t>
      </w:r>
    </w:p>
    <w:p w:rsidR="007F7693" w:rsidRPr="00E56E45" w:rsidRDefault="007F7693" w:rsidP="007F7693">
      <w:pPr>
        <w:pStyle w:val="EDNormal"/>
        <w:ind w:left="1440"/>
      </w:pPr>
    </w:p>
    <w:p w:rsidR="007F7693" w:rsidRDefault="007F7693" w:rsidP="007F7693">
      <w:pPr>
        <w:pStyle w:val="ED-H4"/>
      </w:pPr>
      <w:r>
        <w:t>Benefits of the Project:</w:t>
      </w:r>
    </w:p>
    <w:p w:rsidR="007F7693" w:rsidRDefault="007F7693" w:rsidP="007F7693">
      <w:pPr>
        <w:pStyle w:val="Heading4"/>
        <w:numPr>
          <w:ilvl w:val="0"/>
          <w:numId w:val="19"/>
        </w:numPr>
        <w:ind w:left="1440"/>
      </w:pPr>
      <w:r>
        <w:t>T&amp;D loss reduction and thereby ensuring financial viability of operation.</w:t>
      </w:r>
    </w:p>
    <w:p w:rsidR="007F7693" w:rsidRDefault="007F7693" w:rsidP="007F7693">
      <w:pPr>
        <w:pStyle w:val="Heading4"/>
        <w:numPr>
          <w:ilvl w:val="0"/>
          <w:numId w:val="19"/>
        </w:numPr>
        <w:ind w:left="1440"/>
      </w:pPr>
      <w:r>
        <w:t>Meet the load growth due to strengthening of the system.</w:t>
      </w:r>
    </w:p>
    <w:p w:rsidR="007F7693" w:rsidRDefault="007F7693" w:rsidP="007F7693">
      <w:pPr>
        <w:pStyle w:val="Heading4"/>
        <w:numPr>
          <w:ilvl w:val="0"/>
          <w:numId w:val="19"/>
        </w:numPr>
        <w:ind w:left="1440"/>
      </w:pPr>
      <w:r>
        <w:t>Quality and reliable power supply to the consumers at affordable cost.</w:t>
      </w:r>
    </w:p>
    <w:p w:rsidR="007F7693" w:rsidRDefault="007F7693" w:rsidP="007F7693">
      <w:pPr>
        <w:pStyle w:val="Heading4"/>
        <w:numPr>
          <w:ilvl w:val="0"/>
          <w:numId w:val="19"/>
        </w:numPr>
        <w:ind w:left="1440"/>
      </w:pPr>
      <w:r>
        <w:t>Efficient and transparent billing system.</w:t>
      </w:r>
    </w:p>
    <w:p w:rsidR="007F7693" w:rsidRDefault="007F7693" w:rsidP="007F7693">
      <w:pPr>
        <w:pStyle w:val="Heading4"/>
        <w:numPr>
          <w:ilvl w:val="0"/>
          <w:numId w:val="19"/>
        </w:numPr>
        <w:ind w:left="1440"/>
      </w:pPr>
      <w:r>
        <w:t>Better services.</w:t>
      </w:r>
    </w:p>
    <w:p w:rsidR="007F7693" w:rsidRDefault="007F7693" w:rsidP="007F7693">
      <w:pPr>
        <w:pStyle w:val="Heading4"/>
        <w:numPr>
          <w:ilvl w:val="0"/>
          <w:numId w:val="19"/>
        </w:numPr>
        <w:ind w:left="1440"/>
      </w:pPr>
      <w:r>
        <w:t>Procurement of renewable power without significant financial burden</w:t>
      </w:r>
    </w:p>
    <w:p w:rsidR="007F7693" w:rsidRDefault="007F7693" w:rsidP="00061AA6">
      <w:pPr>
        <w:pStyle w:val="Caption"/>
      </w:pPr>
      <w:bookmarkStart w:id="126" w:name="_Toc523719583"/>
      <w:r>
        <w:lastRenderedPageBreak/>
        <w:t xml:space="preserve">Table </w:t>
      </w:r>
      <w:r w:rsidR="00140E1B">
        <w:fldChar w:fldCharType="begin"/>
      </w:r>
      <w:r>
        <w:instrText xml:space="preserve"> SEQ Table \* ARABIC </w:instrText>
      </w:r>
      <w:r w:rsidR="00140E1B">
        <w:fldChar w:fldCharType="separate"/>
      </w:r>
      <w:r w:rsidR="004B7EE5">
        <w:rPr>
          <w:noProof/>
        </w:rPr>
        <w:t>24</w:t>
      </w:r>
      <w:r w:rsidR="00140E1B">
        <w:rPr>
          <w:noProof/>
        </w:rPr>
        <w:fldChar w:fldCharType="end"/>
      </w:r>
      <w:r>
        <w:t>: Benefits from the scheme</w:t>
      </w:r>
      <w:bookmarkEnd w:id="126"/>
    </w:p>
    <w:p w:rsidR="007F7693" w:rsidRDefault="007F7693" w:rsidP="007F7693">
      <w:pPr>
        <w:pStyle w:val="Heading4"/>
        <w:numPr>
          <w:ilvl w:val="0"/>
          <w:numId w:val="0"/>
        </w:numPr>
        <w:ind w:left="-360"/>
        <w:jc w:val="center"/>
      </w:pPr>
      <w:r>
        <w:rPr>
          <w:noProof/>
          <w:lang w:val="en-US"/>
        </w:rPr>
        <w:drawing>
          <wp:inline distT="0" distB="0" distL="0" distR="0">
            <wp:extent cx="6511925" cy="3057525"/>
            <wp:effectExtent l="0" t="0" r="3175"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34257" cy="3068010"/>
                    </a:xfrm>
                    <a:prstGeom prst="rect">
                      <a:avLst/>
                    </a:prstGeom>
                    <a:noFill/>
                    <a:ln>
                      <a:noFill/>
                    </a:ln>
                  </pic:spPr>
                </pic:pic>
              </a:graphicData>
            </a:graphic>
          </wp:inline>
        </w:drawing>
      </w:r>
    </w:p>
    <w:p w:rsidR="007F7693" w:rsidRDefault="007F7693" w:rsidP="007F7693">
      <w:pPr>
        <w:pStyle w:val="ED-H4"/>
        <w:numPr>
          <w:ilvl w:val="0"/>
          <w:numId w:val="0"/>
        </w:numPr>
        <w:ind w:left="1080"/>
      </w:pPr>
    </w:p>
    <w:p w:rsidR="007F7693" w:rsidRPr="00982DDA" w:rsidRDefault="007F7693" w:rsidP="007F7693">
      <w:pPr>
        <w:pStyle w:val="ED-H4"/>
      </w:pPr>
      <w:r w:rsidRPr="00982DDA">
        <w:t>Present Status of the proposal:</w:t>
      </w:r>
    </w:p>
    <w:p w:rsidR="007F7693" w:rsidRDefault="007F7693" w:rsidP="007F7693">
      <w:pPr>
        <w:pStyle w:val="Heading4"/>
        <w:numPr>
          <w:ilvl w:val="0"/>
          <w:numId w:val="14"/>
        </w:numPr>
        <w:ind w:left="1440"/>
      </w:pPr>
      <w:r w:rsidRPr="00982DDA">
        <w:t>The CEA accorded the Technical clearance for all three parts of the DPR. Action is being taken to obtain the requisite clearance/ sanction of the Puducherry Government including the Cabinet approval in order to approach JICA, through DEA, GOI, for sanctioning of the loan.</w:t>
      </w:r>
    </w:p>
    <w:p w:rsidR="007F7693" w:rsidRDefault="007F7693" w:rsidP="007F7693">
      <w:pPr>
        <w:pStyle w:val="Heading4"/>
        <w:numPr>
          <w:ilvl w:val="0"/>
          <w:numId w:val="14"/>
        </w:numPr>
        <w:ind w:left="1440"/>
      </w:pPr>
      <w:r>
        <w:t>Implementation period for the proposed schemes under JICA loan is 5 years</w:t>
      </w:r>
    </w:p>
    <w:p w:rsidR="007F7693" w:rsidRDefault="007F7693" w:rsidP="007F7693">
      <w:pPr>
        <w:pStyle w:val="Heading4"/>
        <w:numPr>
          <w:ilvl w:val="0"/>
          <w:numId w:val="0"/>
        </w:numPr>
        <w:ind w:left="1440"/>
      </w:pPr>
    </w:p>
    <w:p w:rsidR="007F7693" w:rsidRDefault="007F7693" w:rsidP="007F7693">
      <w:pPr>
        <w:pStyle w:val="ED-H3"/>
        <w:rPr>
          <w:b/>
          <w:i/>
          <w:iCs w:val="0"/>
        </w:rPr>
      </w:pPr>
      <w:r w:rsidRPr="003C375F">
        <w:rPr>
          <w:b/>
          <w:i/>
          <w:iCs w:val="0"/>
        </w:rPr>
        <w:t>Integrated Power Development Scheme</w:t>
      </w:r>
    </w:p>
    <w:p w:rsidR="007F7693" w:rsidRDefault="007F7693" w:rsidP="007F7693">
      <w:pPr>
        <w:pStyle w:val="ED-H4"/>
      </w:pPr>
      <w:r>
        <w:t>The Integrated Power Development Scheme is one of the flagship schemes of Ministry of Power to ensure 24x7 power for all. The scheme was launched by GoI with the following objective:</w:t>
      </w:r>
    </w:p>
    <w:p w:rsidR="007F7693" w:rsidRDefault="007F7693" w:rsidP="007F7693">
      <w:pPr>
        <w:pStyle w:val="Heading4"/>
        <w:numPr>
          <w:ilvl w:val="0"/>
          <w:numId w:val="15"/>
        </w:numPr>
        <w:ind w:left="1440"/>
      </w:pPr>
      <w:r>
        <w:t>Strengthening of sub-transmission and distribution network in urban areas.</w:t>
      </w:r>
    </w:p>
    <w:p w:rsidR="007F7693" w:rsidRDefault="007F7693" w:rsidP="007F7693">
      <w:pPr>
        <w:pStyle w:val="Heading4"/>
        <w:numPr>
          <w:ilvl w:val="0"/>
          <w:numId w:val="15"/>
        </w:numPr>
        <w:ind w:left="1440"/>
      </w:pPr>
      <w:r>
        <w:t>Metering of DTRs/ feeders/consumers in urban areas and provisioning of solar panels.</w:t>
      </w:r>
    </w:p>
    <w:p w:rsidR="007F7693" w:rsidRDefault="007F7693" w:rsidP="007F7693">
      <w:pPr>
        <w:pStyle w:val="Heading4"/>
        <w:numPr>
          <w:ilvl w:val="0"/>
          <w:numId w:val="15"/>
        </w:numPr>
        <w:ind w:left="1440"/>
      </w:pPr>
      <w:r>
        <w:t>IT enablement of distribution sector and strengthening of distribution network as per CCEA approval dated 21.06.2013.</w:t>
      </w:r>
    </w:p>
    <w:p w:rsidR="007F7693" w:rsidRDefault="007F7693" w:rsidP="007F7693">
      <w:pPr>
        <w:pStyle w:val="Heading4"/>
        <w:numPr>
          <w:ilvl w:val="0"/>
          <w:numId w:val="15"/>
        </w:numPr>
        <w:ind w:left="1440"/>
      </w:pPr>
      <w:r>
        <w:t>Completion of on-going works of R-APDRP.</w:t>
      </w:r>
    </w:p>
    <w:p w:rsidR="007F7693" w:rsidRDefault="007F7693" w:rsidP="007F7693">
      <w:pPr>
        <w:pStyle w:val="Heading4"/>
        <w:numPr>
          <w:ilvl w:val="0"/>
          <w:numId w:val="0"/>
        </w:numPr>
        <w:ind w:left="1440"/>
      </w:pPr>
    </w:p>
    <w:p w:rsidR="007F7693" w:rsidRDefault="007F7693" w:rsidP="007F7693">
      <w:pPr>
        <w:pStyle w:val="ED-H4"/>
      </w:pPr>
      <w:r>
        <w:t>A brief overview of the scheme:</w:t>
      </w:r>
    </w:p>
    <w:p w:rsidR="007F7693" w:rsidRDefault="007F7693" w:rsidP="007F7693">
      <w:pPr>
        <w:pStyle w:val="Heading4"/>
        <w:numPr>
          <w:ilvl w:val="0"/>
          <w:numId w:val="15"/>
        </w:numPr>
        <w:ind w:left="1440"/>
        <w:rPr>
          <w:lang w:val="en-IN"/>
        </w:rPr>
      </w:pPr>
      <w:r>
        <w:rPr>
          <w:lang w:val="en-IN"/>
        </w:rPr>
        <w:t>The scheme is to be executed within a period of 24 months from date of LoA by utility.</w:t>
      </w:r>
    </w:p>
    <w:p w:rsidR="007F7693" w:rsidRDefault="007F7693" w:rsidP="007F7693">
      <w:pPr>
        <w:pStyle w:val="Heading4"/>
        <w:numPr>
          <w:ilvl w:val="0"/>
          <w:numId w:val="15"/>
        </w:numPr>
        <w:ind w:left="1440"/>
        <w:rPr>
          <w:lang w:val="en-IN"/>
        </w:rPr>
      </w:pPr>
      <w:r>
        <w:rPr>
          <w:lang w:val="en-IN"/>
        </w:rPr>
        <w:t>A grant of 60% (maximum of 75% on achievement of milestone) can be availed from GoI.</w:t>
      </w:r>
    </w:p>
    <w:p w:rsidR="007F7693" w:rsidRDefault="007F7693" w:rsidP="007F7693">
      <w:pPr>
        <w:pStyle w:val="Heading4"/>
        <w:numPr>
          <w:ilvl w:val="0"/>
          <w:numId w:val="15"/>
        </w:numPr>
        <w:ind w:left="1440"/>
        <w:rPr>
          <w:lang w:val="en-IN"/>
        </w:rPr>
      </w:pPr>
      <w:r>
        <w:rPr>
          <w:lang w:val="en-IN"/>
        </w:rPr>
        <w:lastRenderedPageBreak/>
        <w:t>Power Finance Corporation (PFC) has been appointed as the nodal agency for the scheme.</w:t>
      </w:r>
    </w:p>
    <w:p w:rsidR="007F7693" w:rsidRPr="003C375F" w:rsidRDefault="007F7693" w:rsidP="007F7693">
      <w:pPr>
        <w:pStyle w:val="Heading4"/>
        <w:numPr>
          <w:ilvl w:val="0"/>
          <w:numId w:val="0"/>
        </w:numPr>
        <w:ind w:left="1080"/>
        <w:rPr>
          <w:lang w:val="en-IN"/>
        </w:rPr>
      </w:pPr>
    </w:p>
    <w:p w:rsidR="007F7693" w:rsidRDefault="007F7693" w:rsidP="007F7693">
      <w:pPr>
        <w:pStyle w:val="ED-H4"/>
      </w:pPr>
      <w:r>
        <w:t>In line with the guidelines for the scheme, a detailed project report (DPR) has been prepared for Rs. 22.05 Crs and submitted to the nodal agency, PFC.</w:t>
      </w:r>
    </w:p>
    <w:p w:rsidR="007F7693" w:rsidRPr="003C375F" w:rsidRDefault="007F7693" w:rsidP="007F7693">
      <w:pPr>
        <w:pStyle w:val="EDNormal"/>
        <w:rPr>
          <w:lang w:val="en-IN"/>
        </w:rPr>
      </w:pPr>
    </w:p>
    <w:p w:rsidR="007F7693" w:rsidRDefault="007F7693" w:rsidP="007F7693">
      <w:pPr>
        <w:pStyle w:val="ED-H4"/>
      </w:pPr>
      <w:r>
        <w:t xml:space="preserve">Benefits of the Scheme: </w:t>
      </w:r>
    </w:p>
    <w:p w:rsidR="007F7693" w:rsidRDefault="007F7693" w:rsidP="007F7693">
      <w:pPr>
        <w:pStyle w:val="Heading4"/>
        <w:numPr>
          <w:ilvl w:val="0"/>
          <w:numId w:val="18"/>
        </w:numPr>
        <w:ind w:left="1440"/>
      </w:pPr>
      <w:r>
        <w:t>Reduction in AT&amp;C losses.</w:t>
      </w:r>
    </w:p>
    <w:p w:rsidR="007F7693" w:rsidRDefault="007F7693" w:rsidP="007F7693">
      <w:pPr>
        <w:pStyle w:val="Heading4"/>
        <w:numPr>
          <w:ilvl w:val="0"/>
          <w:numId w:val="18"/>
        </w:numPr>
        <w:ind w:left="1440"/>
      </w:pPr>
      <w:r>
        <w:t>Line loss reduction.</w:t>
      </w:r>
    </w:p>
    <w:p w:rsidR="007F7693" w:rsidRDefault="007F7693" w:rsidP="007F7693">
      <w:pPr>
        <w:pStyle w:val="Heading4"/>
        <w:numPr>
          <w:ilvl w:val="0"/>
          <w:numId w:val="18"/>
        </w:numPr>
        <w:ind w:left="1440"/>
      </w:pPr>
      <w:r>
        <w:t>Ensuring better accounting</w:t>
      </w:r>
    </w:p>
    <w:p w:rsidR="007F7693" w:rsidRDefault="007F7693" w:rsidP="007F7693">
      <w:pPr>
        <w:pStyle w:val="Heading4"/>
        <w:numPr>
          <w:ilvl w:val="0"/>
          <w:numId w:val="18"/>
        </w:numPr>
        <w:ind w:left="1440"/>
      </w:pPr>
      <w:r>
        <w:t>Better voltage profile</w:t>
      </w:r>
    </w:p>
    <w:p w:rsidR="007F7693" w:rsidRDefault="007F7693" w:rsidP="007F7693">
      <w:pPr>
        <w:pStyle w:val="Heading4"/>
        <w:numPr>
          <w:ilvl w:val="0"/>
          <w:numId w:val="18"/>
        </w:numPr>
        <w:ind w:left="1440"/>
      </w:pPr>
      <w:r>
        <w:t>Decrease in DT failure.</w:t>
      </w:r>
    </w:p>
    <w:p w:rsidR="007F7693" w:rsidRDefault="007F7693" w:rsidP="007F7693">
      <w:pPr>
        <w:pStyle w:val="Heading4"/>
        <w:numPr>
          <w:ilvl w:val="0"/>
          <w:numId w:val="18"/>
        </w:numPr>
        <w:ind w:left="1440"/>
      </w:pPr>
      <w:r>
        <w:t>Curbing the theft/ pilferage and unaccounted usage.</w:t>
      </w:r>
    </w:p>
    <w:p w:rsidR="007F7693" w:rsidRDefault="007F7693" w:rsidP="007F7693">
      <w:pPr>
        <w:pStyle w:val="Heading4"/>
        <w:numPr>
          <w:ilvl w:val="0"/>
          <w:numId w:val="0"/>
        </w:numPr>
        <w:ind w:left="1080"/>
      </w:pPr>
    </w:p>
    <w:p w:rsidR="007F7693" w:rsidRDefault="007F7693" w:rsidP="007F7693">
      <w:pPr>
        <w:pStyle w:val="ED-H4"/>
      </w:pPr>
      <w:r>
        <w:t>In line with the guidelines for the scheme, a Detailed Project Report (DPR) has been prepared for Rs. 22.05 Crs and submitted to the nodal agency, PFC.</w:t>
      </w:r>
    </w:p>
    <w:p w:rsidR="007F7693" w:rsidRDefault="007F7693" w:rsidP="007F7693">
      <w:pPr>
        <w:pStyle w:val="Heading4"/>
        <w:numPr>
          <w:ilvl w:val="0"/>
          <w:numId w:val="0"/>
        </w:numPr>
        <w:ind w:left="936"/>
      </w:pPr>
    </w:p>
    <w:p w:rsidR="007F7693" w:rsidRPr="00A92FD8" w:rsidRDefault="007F7693" w:rsidP="007F7693">
      <w:pPr>
        <w:pStyle w:val="ED-H4"/>
      </w:pPr>
      <w:r w:rsidRPr="00A92FD8">
        <w:t>Present status of IPDS:</w:t>
      </w:r>
    </w:p>
    <w:p w:rsidR="007F7693" w:rsidRPr="00A92FD8" w:rsidRDefault="007F7693" w:rsidP="007F7693">
      <w:pPr>
        <w:pStyle w:val="Heading4"/>
        <w:numPr>
          <w:ilvl w:val="0"/>
          <w:numId w:val="16"/>
        </w:numPr>
        <w:ind w:left="1440"/>
      </w:pPr>
      <w:r w:rsidRPr="00A92FD8">
        <w:t>The administrative approval of Government of Puducherry has been obtained based on the approval accorded by Ministry of Power</w:t>
      </w:r>
    </w:p>
    <w:p w:rsidR="007F7693" w:rsidRPr="00A92FD8" w:rsidRDefault="007F7693" w:rsidP="007F7693">
      <w:pPr>
        <w:pStyle w:val="Heading4"/>
        <w:numPr>
          <w:ilvl w:val="0"/>
          <w:numId w:val="16"/>
        </w:numPr>
        <w:ind w:left="1440"/>
      </w:pPr>
      <w:r w:rsidRPr="00A92FD8">
        <w:t>Tenders have been floated for various works under this scheme and entire works are proposed to be completed in the year FY 2019-20.</w:t>
      </w:r>
    </w:p>
    <w:p w:rsidR="007F7693" w:rsidRPr="0088650A" w:rsidRDefault="007F7693" w:rsidP="007F7693">
      <w:pPr>
        <w:pStyle w:val="Heading4"/>
        <w:numPr>
          <w:ilvl w:val="0"/>
          <w:numId w:val="0"/>
        </w:numPr>
        <w:ind w:left="1080"/>
      </w:pPr>
    </w:p>
    <w:p w:rsidR="007F7693" w:rsidRDefault="007F7693" w:rsidP="007F7693">
      <w:pPr>
        <w:pStyle w:val="ED-H3"/>
        <w:rPr>
          <w:b/>
        </w:rPr>
      </w:pPr>
      <w:r>
        <w:rPr>
          <w:b/>
        </w:rPr>
        <w:t xml:space="preserve">Deendayal Upadhyaya Gram Jyoti </w:t>
      </w:r>
    </w:p>
    <w:p w:rsidR="007F7693" w:rsidRDefault="007F7693" w:rsidP="007F7693">
      <w:pPr>
        <w:pStyle w:val="ED-H4"/>
      </w:pPr>
      <w:r>
        <w:t xml:space="preserve">The </w:t>
      </w:r>
      <w:r w:rsidRPr="00357A33">
        <w:t xml:space="preserve">Government of India   has launched </w:t>
      </w:r>
      <w:r>
        <w:t>the programme</w:t>
      </w:r>
      <w:r w:rsidRPr="00357A33">
        <w:t xml:space="preserve"> Deena Dayal Upadhyaya Gram Jyoti Yojana (DDUGJY) with aim of strengthening of Sub-transmission &amp; Distribution network  &amp; Metering in rural areas</w:t>
      </w:r>
    </w:p>
    <w:p w:rsidR="007F7693" w:rsidRPr="00357A33" w:rsidRDefault="007F7693" w:rsidP="007F7693">
      <w:pPr>
        <w:pStyle w:val="EDNormal"/>
        <w:rPr>
          <w:lang w:val="en-IN"/>
        </w:rPr>
      </w:pPr>
    </w:p>
    <w:p w:rsidR="007F7693" w:rsidRDefault="007F7693" w:rsidP="007F7693">
      <w:pPr>
        <w:pStyle w:val="ED-H4"/>
      </w:pPr>
      <w:r>
        <w:t>Brief overview of the project:</w:t>
      </w:r>
    </w:p>
    <w:p w:rsidR="007F7693" w:rsidRDefault="007F7693" w:rsidP="007F7693">
      <w:pPr>
        <w:pStyle w:val="ED-H3"/>
        <w:numPr>
          <w:ilvl w:val="0"/>
          <w:numId w:val="34"/>
        </w:numPr>
      </w:pPr>
      <w:r w:rsidRPr="00357A33">
        <w:t>Project to be implemented in UT of Puducherry with a total proposed project cost of Rs.20.15 Crs</w:t>
      </w:r>
    </w:p>
    <w:p w:rsidR="007F7693" w:rsidRDefault="007F7693" w:rsidP="007F7693">
      <w:pPr>
        <w:pStyle w:val="EDNormal"/>
        <w:numPr>
          <w:ilvl w:val="0"/>
          <w:numId w:val="34"/>
        </w:numPr>
        <w:rPr>
          <w:lang w:bidi="hi-IN"/>
        </w:rPr>
      </w:pPr>
      <w:r w:rsidRPr="00357A33">
        <w:rPr>
          <w:lang w:bidi="hi-IN"/>
        </w:rPr>
        <w:t>Out of the total project cost, 75% of the project cost will be received as grant from the Govt. of India and the balance 25% amount will be availed as loan from REC</w:t>
      </w:r>
    </w:p>
    <w:p w:rsidR="007F7693" w:rsidRPr="00357A33" w:rsidRDefault="007F7693" w:rsidP="007F7693">
      <w:pPr>
        <w:pStyle w:val="EDNormal"/>
        <w:numPr>
          <w:ilvl w:val="0"/>
          <w:numId w:val="34"/>
        </w:numPr>
        <w:rPr>
          <w:lang w:bidi="hi-IN"/>
        </w:rPr>
      </w:pPr>
      <w:r>
        <w:rPr>
          <w:lang w:bidi="hi-IN"/>
        </w:rPr>
        <w:t>Under this scheme, various distribution transformers and associated spur lines, LT overhead lines and 22 kV and 11 kV feeders are proposed for system strengthening</w:t>
      </w:r>
    </w:p>
    <w:p w:rsidR="007F7693" w:rsidRDefault="007F7693" w:rsidP="007F7693">
      <w:pPr>
        <w:pStyle w:val="EDNormal"/>
        <w:rPr>
          <w:lang w:bidi="hi-IN"/>
        </w:rPr>
      </w:pPr>
    </w:p>
    <w:p w:rsidR="001D660C" w:rsidRDefault="001D660C" w:rsidP="007F7693">
      <w:pPr>
        <w:pStyle w:val="EDNormal"/>
        <w:rPr>
          <w:lang w:bidi="hi-IN"/>
        </w:rPr>
      </w:pPr>
    </w:p>
    <w:p w:rsidR="007F7693" w:rsidRPr="00A92FD8" w:rsidRDefault="007F7693" w:rsidP="007F7693">
      <w:pPr>
        <w:pStyle w:val="ED-H4"/>
      </w:pPr>
      <w:r>
        <w:lastRenderedPageBreak/>
        <w:t>Present status of the project:</w:t>
      </w:r>
    </w:p>
    <w:p w:rsidR="007F7693" w:rsidRPr="00A92FD8" w:rsidRDefault="007F7693" w:rsidP="007F7693">
      <w:pPr>
        <w:pStyle w:val="Heading4"/>
        <w:numPr>
          <w:ilvl w:val="0"/>
          <w:numId w:val="16"/>
        </w:numPr>
        <w:ind w:left="1440"/>
      </w:pPr>
      <w:r w:rsidRPr="00A92FD8">
        <w:t>The administrative approval of Government of Puducherry has been obtained based on the approval accorded by Ministry of Power</w:t>
      </w:r>
    </w:p>
    <w:p w:rsidR="007F7693" w:rsidRPr="00A92FD8" w:rsidRDefault="007F7693" w:rsidP="007F7693">
      <w:pPr>
        <w:pStyle w:val="Heading4"/>
        <w:numPr>
          <w:ilvl w:val="0"/>
          <w:numId w:val="16"/>
        </w:numPr>
        <w:ind w:left="1440"/>
      </w:pPr>
      <w:r w:rsidRPr="00A92FD8">
        <w:t>Tenders have been floated for various works under this scheme and entire works are proposed to be completed in the year FY 2019-20.</w:t>
      </w:r>
    </w:p>
    <w:p w:rsidR="007F7693" w:rsidRPr="00357A33" w:rsidRDefault="007F7693" w:rsidP="007F7693">
      <w:pPr>
        <w:pStyle w:val="EDNormal"/>
        <w:rPr>
          <w:lang w:bidi="hi-IN"/>
        </w:rPr>
      </w:pPr>
    </w:p>
    <w:p w:rsidR="007F7693" w:rsidRDefault="007F7693" w:rsidP="007F7693">
      <w:pPr>
        <w:pStyle w:val="ED-H3"/>
        <w:rPr>
          <w:b/>
        </w:rPr>
      </w:pPr>
      <w:r>
        <w:rPr>
          <w:b/>
        </w:rPr>
        <w:t>Power system Development Fund</w:t>
      </w:r>
    </w:p>
    <w:p w:rsidR="007F7693" w:rsidRDefault="007F7693" w:rsidP="007F7693">
      <w:pPr>
        <w:pStyle w:val="ED-H4"/>
      </w:pPr>
      <w:r>
        <w:t>R</w:t>
      </w:r>
      <w:r w:rsidRPr="00357A33">
        <w:t>enovation and Modernisation of i</w:t>
      </w:r>
      <w:r w:rsidR="00D33184">
        <w:t xml:space="preserve">ndoor and outdoor equipment in </w:t>
      </w:r>
      <w:r w:rsidRPr="00357A33">
        <w:t>Villianur and Bahour 230/110KV Auto Sub Stations at an estimated cost of Rs. 10.56 Crores is being executed under Power System Development Fund of Government of India.</w:t>
      </w:r>
      <w:r>
        <w:t xml:space="preserve"> Out of sanctioned project cost, Rs.9.50 Crores is grant from GoI and balance amount </w:t>
      </w:r>
      <w:r w:rsidRPr="00AB0D59">
        <w:t>will be met from the Puducherry State Plan Funds</w:t>
      </w:r>
    </w:p>
    <w:p w:rsidR="007F7693" w:rsidRPr="00357A33" w:rsidRDefault="007F7693" w:rsidP="007F7693">
      <w:pPr>
        <w:pStyle w:val="EDNormal"/>
        <w:rPr>
          <w:lang w:val="en-IN"/>
        </w:rPr>
      </w:pPr>
    </w:p>
    <w:p w:rsidR="007F7693" w:rsidRPr="00A92FD8" w:rsidRDefault="007F7693" w:rsidP="007F7693">
      <w:pPr>
        <w:pStyle w:val="ED-H4"/>
      </w:pPr>
      <w:r w:rsidRPr="00A92FD8">
        <w:t>Present Status of the project:</w:t>
      </w:r>
    </w:p>
    <w:p w:rsidR="007F7693" w:rsidRPr="00AB0D59" w:rsidRDefault="007F7693" w:rsidP="007F7693">
      <w:pPr>
        <w:pStyle w:val="EDNormal"/>
        <w:numPr>
          <w:ilvl w:val="0"/>
          <w:numId w:val="35"/>
        </w:numPr>
        <w:rPr>
          <w:lang w:val="en-IN"/>
        </w:rPr>
      </w:pPr>
      <w:r w:rsidRPr="00AB0D59">
        <w:rPr>
          <w:lang w:val="en-IN"/>
        </w:rPr>
        <w:t>The Battery Bank in the sub-station have been installed during 2017-18.</w:t>
      </w:r>
    </w:p>
    <w:p w:rsidR="007F7693" w:rsidRPr="00AB0D59" w:rsidRDefault="007F7693" w:rsidP="007F7693">
      <w:pPr>
        <w:pStyle w:val="EDNormal"/>
        <w:numPr>
          <w:ilvl w:val="0"/>
          <w:numId w:val="35"/>
        </w:numPr>
        <w:rPr>
          <w:lang w:val="en-IN"/>
        </w:rPr>
      </w:pPr>
      <w:r w:rsidRPr="00AB0D59">
        <w:rPr>
          <w:lang w:val="en-IN"/>
        </w:rPr>
        <w:t>Tenders f</w:t>
      </w:r>
      <w:r>
        <w:rPr>
          <w:lang w:val="en-IN"/>
        </w:rPr>
        <w:t>or erection of indoor equipment</w:t>
      </w:r>
      <w:r w:rsidRPr="00AB0D59">
        <w:rPr>
          <w:lang w:val="en-IN"/>
        </w:rPr>
        <w:t xml:space="preserve"> for an amount of Rs.4.474 Crores had been finalized and approval of the Government of Puducherry to be accorded in July 2018. Work to be completed during 2018-19.</w:t>
      </w:r>
    </w:p>
    <w:p w:rsidR="007F7693" w:rsidRPr="00AB0D59" w:rsidRDefault="007F7693" w:rsidP="007F7693">
      <w:pPr>
        <w:pStyle w:val="EDNormal"/>
        <w:numPr>
          <w:ilvl w:val="0"/>
          <w:numId w:val="35"/>
        </w:numPr>
        <w:rPr>
          <w:lang w:val="en-IN"/>
        </w:rPr>
      </w:pPr>
      <w:r w:rsidRPr="00AB0D59">
        <w:rPr>
          <w:lang w:val="en-IN"/>
        </w:rPr>
        <w:t>Tenders fo</w:t>
      </w:r>
      <w:r>
        <w:rPr>
          <w:lang w:val="en-IN"/>
        </w:rPr>
        <w:t>r erection of outdoor equipment</w:t>
      </w:r>
      <w:r w:rsidRPr="00AB0D59">
        <w:rPr>
          <w:lang w:val="en-IN"/>
        </w:rPr>
        <w:t xml:space="preserve"> for an estimated cost of Rs.5.83 Crores have been floated. Work to be completed during 2019.</w:t>
      </w:r>
    </w:p>
    <w:p w:rsidR="007F7693" w:rsidRPr="00357A33" w:rsidRDefault="007F7693" w:rsidP="007F7693">
      <w:pPr>
        <w:pStyle w:val="EDNormal"/>
        <w:rPr>
          <w:lang w:val="en-IN"/>
        </w:rPr>
      </w:pPr>
    </w:p>
    <w:p w:rsidR="007F7693" w:rsidRDefault="007F7693" w:rsidP="007F7693">
      <w:pPr>
        <w:pStyle w:val="ED-H3"/>
        <w:rPr>
          <w:b/>
        </w:rPr>
      </w:pPr>
      <w:r w:rsidRPr="00105F99">
        <w:rPr>
          <w:b/>
        </w:rPr>
        <w:t>Smart Grid Project</w:t>
      </w:r>
    </w:p>
    <w:p w:rsidR="007F7693" w:rsidRDefault="007F7693" w:rsidP="007F7693">
      <w:pPr>
        <w:pStyle w:val="ED-H4"/>
      </w:pPr>
      <w:r>
        <w:t>The details of the smart grid initiative to install smart meters on pilot basis in Puducherry Town area has been discussed in Chapter 2 under “</w:t>
      </w:r>
      <w:r>
        <w:rPr>
          <w:i/>
        </w:rPr>
        <w:t>I</w:t>
      </w:r>
      <w:r w:rsidRPr="006523E6">
        <w:rPr>
          <w:i/>
        </w:rPr>
        <w:t>nitiatives to improve the System”</w:t>
      </w:r>
      <w:r>
        <w:t xml:space="preserve">. </w:t>
      </w:r>
    </w:p>
    <w:p w:rsidR="007F7693" w:rsidRDefault="007F7693" w:rsidP="007F7693">
      <w:pPr>
        <w:pStyle w:val="Heading4"/>
        <w:numPr>
          <w:ilvl w:val="0"/>
          <w:numId w:val="0"/>
        </w:numPr>
        <w:ind w:left="936" w:hanging="936"/>
      </w:pPr>
    </w:p>
    <w:p w:rsidR="007F7693" w:rsidRDefault="007F7693" w:rsidP="007F7693">
      <w:pPr>
        <w:pStyle w:val="ED-H4"/>
      </w:pPr>
      <w:r>
        <w:t xml:space="preserve">Brief overview of the project: </w:t>
      </w:r>
    </w:p>
    <w:p w:rsidR="007F7693" w:rsidRDefault="007F7693" w:rsidP="007F7693">
      <w:pPr>
        <w:pStyle w:val="Heading4"/>
        <w:numPr>
          <w:ilvl w:val="0"/>
          <w:numId w:val="17"/>
        </w:numPr>
        <w:ind w:left="1440"/>
      </w:pPr>
      <w:r>
        <w:t>Project to be implemented in Town I area of Puducherry region.</w:t>
      </w:r>
    </w:p>
    <w:p w:rsidR="007F7693" w:rsidRPr="00965DC7" w:rsidRDefault="007F7693" w:rsidP="007F7693">
      <w:pPr>
        <w:pStyle w:val="Heading4"/>
        <w:numPr>
          <w:ilvl w:val="0"/>
          <w:numId w:val="17"/>
        </w:numPr>
        <w:ind w:left="1440"/>
      </w:pPr>
      <w:r>
        <w:t>34000 consumers (domestic/ commercial) and 1400 LT CT operated services in all four regions of Puducherry to be covered.</w:t>
      </w:r>
    </w:p>
    <w:p w:rsidR="007F7693" w:rsidRPr="00965DC7" w:rsidRDefault="007F7693" w:rsidP="007F7693">
      <w:pPr>
        <w:pStyle w:val="Heading4"/>
        <w:numPr>
          <w:ilvl w:val="0"/>
          <w:numId w:val="17"/>
        </w:numPr>
        <w:ind w:left="1440"/>
      </w:pPr>
      <w:r>
        <w:rPr>
          <w:rFonts w:asciiTheme="minorHAnsi" w:hAnsiTheme="minorHAnsi" w:cstheme="minorHAnsi"/>
          <w:szCs w:val="24"/>
        </w:rPr>
        <w:t>50% of the project limited to 25 Crs to be funded from GoI grant.</w:t>
      </w:r>
    </w:p>
    <w:p w:rsidR="007F7693" w:rsidRPr="006523E6" w:rsidRDefault="007F7693" w:rsidP="007F7693">
      <w:pPr>
        <w:pStyle w:val="Heading4"/>
        <w:numPr>
          <w:ilvl w:val="0"/>
          <w:numId w:val="17"/>
        </w:numPr>
        <w:ind w:left="1440"/>
      </w:pPr>
      <w:r>
        <w:rPr>
          <w:rFonts w:asciiTheme="minorHAnsi" w:hAnsiTheme="minorHAnsi" w:cstheme="minorHAnsi"/>
          <w:szCs w:val="24"/>
        </w:rPr>
        <w:t>Remaining 50% to be borne by the utility/ PED.</w:t>
      </w:r>
    </w:p>
    <w:p w:rsidR="007F7693" w:rsidRDefault="007F7693" w:rsidP="007F7693">
      <w:pPr>
        <w:pStyle w:val="Heading4"/>
        <w:numPr>
          <w:ilvl w:val="0"/>
          <w:numId w:val="0"/>
        </w:numPr>
        <w:ind w:left="1080"/>
      </w:pPr>
    </w:p>
    <w:p w:rsidR="007F7693" w:rsidRPr="006523E6" w:rsidRDefault="007F7693" w:rsidP="007F7693">
      <w:pPr>
        <w:pStyle w:val="Heading4"/>
        <w:numPr>
          <w:ilvl w:val="0"/>
          <w:numId w:val="0"/>
        </w:numPr>
        <w:ind w:left="1080"/>
      </w:pPr>
    </w:p>
    <w:p w:rsidR="007F7693" w:rsidRDefault="007F7693" w:rsidP="007F7693">
      <w:pPr>
        <w:pStyle w:val="ED-H4"/>
      </w:pPr>
      <w:r w:rsidRPr="00E56CDF">
        <w:t xml:space="preserve">Benefits of the Project: </w:t>
      </w:r>
    </w:p>
    <w:p w:rsidR="007F7693" w:rsidRDefault="007F7693" w:rsidP="007F7693">
      <w:pPr>
        <w:pStyle w:val="EDNormal"/>
        <w:numPr>
          <w:ilvl w:val="0"/>
          <w:numId w:val="20"/>
        </w:numPr>
        <w:ind w:left="1440"/>
        <w:rPr>
          <w:lang w:val="en-IN"/>
        </w:rPr>
      </w:pPr>
      <w:r>
        <w:rPr>
          <w:lang w:val="en-IN"/>
        </w:rPr>
        <w:t>Complete elimination of all billing errors and manual meter reading, thereby the department staff can be effectively utilised for other works.</w:t>
      </w:r>
    </w:p>
    <w:p w:rsidR="007F7693" w:rsidRDefault="007F7693" w:rsidP="007F7693">
      <w:pPr>
        <w:pStyle w:val="EDNormal"/>
        <w:numPr>
          <w:ilvl w:val="0"/>
          <w:numId w:val="20"/>
        </w:numPr>
        <w:ind w:left="1440"/>
        <w:rPr>
          <w:lang w:val="en-IN"/>
        </w:rPr>
      </w:pPr>
      <w:r>
        <w:rPr>
          <w:lang w:val="en-IN"/>
        </w:rPr>
        <w:t>Increased accuracy in billing, theft detection, targeting energy efficiency/ demand response programme.</w:t>
      </w:r>
    </w:p>
    <w:p w:rsidR="007F7693" w:rsidRDefault="007F7693" w:rsidP="007F7693">
      <w:pPr>
        <w:pStyle w:val="EDNormal"/>
        <w:numPr>
          <w:ilvl w:val="0"/>
          <w:numId w:val="20"/>
        </w:numPr>
        <w:ind w:left="1440"/>
        <w:rPr>
          <w:lang w:val="en-IN"/>
        </w:rPr>
      </w:pPr>
      <w:r>
        <w:rPr>
          <w:lang w:val="en-IN"/>
        </w:rPr>
        <w:lastRenderedPageBreak/>
        <w:t>Improved customer services such as billing accuracy and early detection of meter failures, thereby, reducing the revenue loss to the department.</w:t>
      </w:r>
    </w:p>
    <w:p w:rsidR="007F7693" w:rsidRDefault="007F7693" w:rsidP="007F7693">
      <w:pPr>
        <w:pStyle w:val="EDNormal"/>
        <w:numPr>
          <w:ilvl w:val="0"/>
          <w:numId w:val="20"/>
        </w:numPr>
        <w:ind w:left="1440"/>
        <w:rPr>
          <w:lang w:val="en-IN"/>
        </w:rPr>
      </w:pPr>
      <w:r>
        <w:rPr>
          <w:lang w:val="en-IN"/>
        </w:rPr>
        <w:t>Disconnection and reconnection of service connection, and load management is possible from the control centre.</w:t>
      </w:r>
    </w:p>
    <w:p w:rsidR="007F7693" w:rsidRDefault="007F7693" w:rsidP="007F7693">
      <w:pPr>
        <w:pStyle w:val="EDNormal"/>
        <w:numPr>
          <w:ilvl w:val="0"/>
          <w:numId w:val="20"/>
        </w:numPr>
        <w:ind w:left="1440"/>
        <w:rPr>
          <w:lang w:val="en-IN"/>
        </w:rPr>
      </w:pPr>
      <w:r>
        <w:rPr>
          <w:lang w:val="en-IN"/>
        </w:rPr>
        <w:t>Financial benefit to the department by way of reduction in distribution losses thereby increase in revenue generation.</w:t>
      </w:r>
    </w:p>
    <w:p w:rsidR="007F7693" w:rsidRDefault="007F7693" w:rsidP="007F7693">
      <w:pPr>
        <w:pStyle w:val="EDNormal"/>
        <w:ind w:left="1440"/>
        <w:rPr>
          <w:lang w:val="en-IN"/>
        </w:rPr>
      </w:pPr>
    </w:p>
    <w:p w:rsidR="007F7693" w:rsidRPr="00A92FD8" w:rsidRDefault="007F7693" w:rsidP="007F7693">
      <w:pPr>
        <w:pStyle w:val="ED-H4"/>
      </w:pPr>
      <w:r w:rsidRPr="00A92FD8">
        <w:t>Present Status of the project:</w:t>
      </w:r>
    </w:p>
    <w:p w:rsidR="007F7693" w:rsidRPr="00A92FD8" w:rsidRDefault="007F7693" w:rsidP="007F7693">
      <w:pPr>
        <w:pStyle w:val="EDNormal"/>
        <w:numPr>
          <w:ilvl w:val="0"/>
          <w:numId w:val="20"/>
        </w:numPr>
        <w:ind w:left="1440"/>
        <w:rPr>
          <w:lang w:val="en-IN"/>
        </w:rPr>
      </w:pPr>
      <w:r w:rsidRPr="00A92FD8">
        <w:rPr>
          <w:lang w:val="en-IN"/>
        </w:rPr>
        <w:t>Works regarding replacement of smart meters are in progress and the program is expected to be completed in FY 2018-19.</w:t>
      </w:r>
    </w:p>
    <w:p w:rsidR="007F7693" w:rsidRDefault="007F7693" w:rsidP="007F7693">
      <w:pPr>
        <w:pStyle w:val="ED-H2"/>
        <w:numPr>
          <w:ilvl w:val="0"/>
          <w:numId w:val="0"/>
        </w:numPr>
      </w:pPr>
    </w:p>
    <w:p w:rsidR="007F7693" w:rsidRPr="00E56CDF" w:rsidRDefault="007F7693" w:rsidP="007F7693">
      <w:pPr>
        <w:pStyle w:val="ED-H2"/>
      </w:pPr>
      <w:bookmarkStart w:id="127" w:name="_Toc426377558"/>
      <w:bookmarkStart w:id="128" w:name="_Toc523724494"/>
      <w:r w:rsidRPr="00E56CDF">
        <w:t>Funding of Capital Expenditure</w:t>
      </w:r>
      <w:bookmarkEnd w:id="127"/>
      <w:bookmarkEnd w:id="128"/>
    </w:p>
    <w:p w:rsidR="007F7693" w:rsidRPr="00E56CDF" w:rsidRDefault="007F7693" w:rsidP="007F7693">
      <w:pPr>
        <w:pStyle w:val="ED-H3"/>
      </w:pPr>
      <w:r w:rsidRPr="00E56CDF">
        <w:t>PED plans on funding majority of its capital expenditure through a mix of budgetary allocation and loan from Japan International Co-Operation Agency (JICA). The works carried out under R-APDRP (Part A&amp;B) is funded by Power Finance Corporation.</w:t>
      </w:r>
    </w:p>
    <w:p w:rsidR="007F7693" w:rsidRPr="00E56CDF" w:rsidRDefault="007F7693" w:rsidP="007F7693">
      <w:pPr>
        <w:pStyle w:val="EDNormal"/>
        <w:rPr>
          <w:bCs/>
        </w:rPr>
      </w:pPr>
    </w:p>
    <w:p w:rsidR="007F7693" w:rsidRDefault="007F7693" w:rsidP="007F7693">
      <w:pPr>
        <w:pStyle w:val="ED-H3"/>
      </w:pPr>
      <w:r w:rsidRPr="00E56CDF">
        <w:t>The funding pattern of PED for its proposed capital expenditure plan is submitted as follows.</w:t>
      </w:r>
    </w:p>
    <w:p w:rsidR="00735CAB" w:rsidRPr="00735CAB" w:rsidRDefault="00735CAB" w:rsidP="00735CAB">
      <w:pPr>
        <w:pStyle w:val="EDNormal"/>
        <w:rPr>
          <w:lang w:val="en-IN" w:bidi="hi-IN"/>
        </w:rPr>
      </w:pPr>
    </w:p>
    <w:p w:rsidR="007F7693" w:rsidRPr="00E56CDF" w:rsidRDefault="007F7693" w:rsidP="00F14FCB">
      <w:pPr>
        <w:pStyle w:val="Caption"/>
        <w:rPr>
          <w:sz w:val="20"/>
          <w:szCs w:val="20"/>
          <w:highlight w:val="yellow"/>
        </w:rPr>
      </w:pPr>
      <w:bookmarkStart w:id="129" w:name="_Toc523719584"/>
      <w:r w:rsidRPr="00E56CDF">
        <w:t xml:space="preserve">Table </w:t>
      </w:r>
      <w:r w:rsidR="00140E1B">
        <w:fldChar w:fldCharType="begin"/>
      </w:r>
      <w:r>
        <w:instrText xml:space="preserve"> SEQ Table \* ARABIC </w:instrText>
      </w:r>
      <w:r w:rsidR="00140E1B">
        <w:fldChar w:fldCharType="separate"/>
      </w:r>
      <w:r w:rsidR="004B7EE5">
        <w:rPr>
          <w:noProof/>
        </w:rPr>
        <w:t>25</w:t>
      </w:r>
      <w:r w:rsidR="00140E1B">
        <w:rPr>
          <w:noProof/>
        </w:rPr>
        <w:fldChar w:fldCharType="end"/>
      </w:r>
      <w:r w:rsidRPr="00E56CDF">
        <w:t>: Funding for Proposed Capital Expenditure for Control Period</w:t>
      </w:r>
      <w:bookmarkEnd w:id="129"/>
      <w:r w:rsidRPr="00E56CDF">
        <w:rPr>
          <w:sz w:val="20"/>
          <w:szCs w:val="20"/>
        </w:rPr>
        <w:t>(Rs. Crs)</w:t>
      </w:r>
    </w:p>
    <w:p w:rsidR="007F7693" w:rsidRPr="00461FE5" w:rsidRDefault="00735CAB" w:rsidP="007F7693">
      <w:pPr>
        <w:jc w:val="center"/>
        <w:rPr>
          <w:highlight w:val="yellow"/>
        </w:rPr>
      </w:pPr>
      <w:r>
        <w:object w:dxaOrig="8546" w:dyaOrig="3568">
          <v:shape id="_x0000_i1034" type="#_x0000_t75" style="width:396.55pt;height:166.55pt" o:ole="">
            <v:imagedata r:id="rId39" o:title=""/>
          </v:shape>
          <o:OLEObject Type="Embed" ProgID="Excel.Sheet.12" ShapeID="_x0000_i1034" DrawAspect="Content" ObjectID="_1598429504" r:id="rId40"/>
        </w:object>
      </w:r>
    </w:p>
    <w:p w:rsidR="007F7693" w:rsidRPr="00E56CDF" w:rsidRDefault="007F7693" w:rsidP="007F7693">
      <w:pPr>
        <w:jc w:val="right"/>
        <w:rPr>
          <w:i/>
          <w:iCs/>
          <w:lang w:val="en-US"/>
        </w:rPr>
      </w:pPr>
    </w:p>
    <w:p w:rsidR="007F7693" w:rsidRPr="00E56CDF" w:rsidRDefault="007F7693" w:rsidP="007F7693">
      <w:pPr>
        <w:pStyle w:val="ED-H3"/>
      </w:pPr>
      <w:r w:rsidRPr="00E56CDF">
        <w:t>With respect to JICA loan, the process of availing the loan is still at a nascent stage and therefore the loan profile at present cannot be determined. However, it is expected that the servicing of the JICA loan including the hedging and interest cost will be ~6%. Therefore, PED submits that the details about the JICA loan and the servicing of the same will be submitted to the Hon’ble Commission once the details are finalized.</w:t>
      </w:r>
    </w:p>
    <w:p w:rsidR="007F7693" w:rsidRDefault="007F7693" w:rsidP="007F7693">
      <w:pPr>
        <w:pStyle w:val="ListParagraph"/>
        <w:rPr>
          <w:lang w:val="en-US"/>
        </w:rPr>
      </w:pPr>
    </w:p>
    <w:p w:rsidR="00735CAB" w:rsidRDefault="00735CAB" w:rsidP="007F7693">
      <w:pPr>
        <w:pStyle w:val="ListParagraph"/>
        <w:rPr>
          <w:lang w:val="en-US"/>
        </w:rPr>
      </w:pPr>
    </w:p>
    <w:p w:rsidR="00735CAB" w:rsidRPr="00E56CDF" w:rsidRDefault="00735CAB" w:rsidP="007F7693">
      <w:pPr>
        <w:pStyle w:val="ListParagraph"/>
        <w:rPr>
          <w:lang w:val="en-US"/>
        </w:rPr>
      </w:pPr>
    </w:p>
    <w:p w:rsidR="007F7693" w:rsidRPr="00E56CDF" w:rsidRDefault="007F7693" w:rsidP="007F7693">
      <w:pPr>
        <w:pStyle w:val="ED-H3"/>
      </w:pPr>
      <w:r w:rsidRPr="00E56CDF">
        <w:t xml:space="preserve">The disbursement from PFC has been availed against the scheme under R-APDRP Part A and B. As per the Central Government scheme the same may be converted into grant if the operational targets are achieved. In case of non-achievement of those operational targets the same disbursements will be considered as loan which may have an interest rate of 12% - 13%. Therefore this is an early stage at present to consider the PFC disbursement as loan or grant.  </w:t>
      </w:r>
    </w:p>
    <w:p w:rsidR="007F7693" w:rsidRPr="00E56CDF" w:rsidRDefault="007F7693" w:rsidP="007F7693">
      <w:pPr>
        <w:pStyle w:val="ListParagraph"/>
        <w:rPr>
          <w:lang w:val="en-US"/>
        </w:rPr>
      </w:pPr>
    </w:p>
    <w:p w:rsidR="007F7693" w:rsidRPr="00E56CDF" w:rsidRDefault="007F7693" w:rsidP="007F7693">
      <w:pPr>
        <w:pStyle w:val="ED-H3"/>
      </w:pPr>
      <w:r w:rsidRPr="00E56CDF">
        <w:t>Apart from the above loan there is an additional loan from REC availed in the previous financial year which will be serviced during the control period. The details of the loan are as follows.</w:t>
      </w:r>
    </w:p>
    <w:p w:rsidR="007F7693" w:rsidRPr="00E56CDF" w:rsidRDefault="007F7693" w:rsidP="007F7693">
      <w:pPr>
        <w:pStyle w:val="Heading3"/>
        <w:numPr>
          <w:ilvl w:val="0"/>
          <w:numId w:val="13"/>
        </w:numPr>
        <w:rPr>
          <w:lang w:val="en-US"/>
        </w:rPr>
      </w:pPr>
      <w:r w:rsidRPr="00E56CDF">
        <w:rPr>
          <w:lang w:val="en-US"/>
        </w:rPr>
        <w:t>Loan drawn from REC: Rs. 35.74 Crs</w:t>
      </w:r>
    </w:p>
    <w:p w:rsidR="007F7693" w:rsidRPr="00E56CDF" w:rsidRDefault="007F7693" w:rsidP="007F7693">
      <w:pPr>
        <w:pStyle w:val="Heading3"/>
        <w:numPr>
          <w:ilvl w:val="0"/>
          <w:numId w:val="13"/>
        </w:numPr>
        <w:rPr>
          <w:lang w:val="en-US"/>
        </w:rPr>
      </w:pPr>
      <w:r w:rsidRPr="00E56CDF">
        <w:rPr>
          <w:lang w:val="en-US"/>
        </w:rPr>
        <w:t>Moratorium period for loan repayment period is 3 years which ends on 31.03.2016.</w:t>
      </w:r>
    </w:p>
    <w:p w:rsidR="007F7693" w:rsidRPr="00E56CDF" w:rsidRDefault="007F7693" w:rsidP="007F7693">
      <w:pPr>
        <w:pStyle w:val="Heading3"/>
        <w:numPr>
          <w:ilvl w:val="0"/>
          <w:numId w:val="13"/>
        </w:numPr>
        <w:rPr>
          <w:lang w:val="en-US"/>
        </w:rPr>
      </w:pPr>
      <w:r w:rsidRPr="00E56CDF">
        <w:rPr>
          <w:lang w:val="en-US"/>
        </w:rPr>
        <w:t>Repayment period: 13 years from the date of disbursement of first loan.</w:t>
      </w:r>
    </w:p>
    <w:p w:rsidR="007F7693" w:rsidRPr="00E56CDF" w:rsidRDefault="007F7693" w:rsidP="007F7693">
      <w:pPr>
        <w:pStyle w:val="Heading3"/>
        <w:numPr>
          <w:ilvl w:val="0"/>
          <w:numId w:val="13"/>
        </w:numPr>
        <w:rPr>
          <w:lang w:val="en-US"/>
        </w:rPr>
      </w:pPr>
      <w:r w:rsidRPr="00E56CDF">
        <w:rPr>
          <w:lang w:val="en-US"/>
        </w:rPr>
        <w:t>Accordingly loan repayment starts from 30.03.2013 with Rs 3.57 Crs every year for the next 10 years.</w:t>
      </w:r>
    </w:p>
    <w:p w:rsidR="007F7693" w:rsidRPr="00E56CDF" w:rsidRDefault="007F7693" w:rsidP="007F7693">
      <w:pPr>
        <w:pStyle w:val="Heading3"/>
        <w:numPr>
          <w:ilvl w:val="0"/>
          <w:numId w:val="13"/>
        </w:numPr>
        <w:rPr>
          <w:lang w:val="en-US"/>
        </w:rPr>
      </w:pPr>
      <w:r w:rsidRPr="00E56CDF">
        <w:rPr>
          <w:lang w:val="en-US"/>
        </w:rPr>
        <w:t>Interest rate of ~12% - 13%.</w:t>
      </w:r>
    </w:p>
    <w:p w:rsidR="007F7693" w:rsidRDefault="007F7693" w:rsidP="007F7693">
      <w:pPr>
        <w:pStyle w:val="EDNormal"/>
      </w:pPr>
    </w:p>
    <w:p w:rsidR="007F7693" w:rsidRPr="00E56CDF" w:rsidRDefault="007F7693" w:rsidP="007F7693">
      <w:pPr>
        <w:pStyle w:val="ED-H2"/>
      </w:pPr>
      <w:bookmarkStart w:id="130" w:name="_Toc426377559"/>
      <w:bookmarkStart w:id="131" w:name="_Toc523724495"/>
      <w:r w:rsidRPr="00E56CDF">
        <w:t>Gross Fixed Assets</w:t>
      </w:r>
      <w:bookmarkEnd w:id="130"/>
      <w:bookmarkEnd w:id="131"/>
    </w:p>
    <w:p w:rsidR="007F7693" w:rsidRPr="00A92FD8" w:rsidRDefault="007F7693" w:rsidP="007F7693">
      <w:pPr>
        <w:pStyle w:val="ED-H3"/>
      </w:pPr>
      <w:r w:rsidRPr="00A92FD8">
        <w:t>The capitalization plan for transmission projects is projected based on completed schedule of the project</w:t>
      </w:r>
      <w:r>
        <w:t>. In respect of system improvement and normal development works, 2/3</w:t>
      </w:r>
      <w:r w:rsidRPr="00A92FD8">
        <w:rPr>
          <w:vertAlign w:val="superscript"/>
        </w:rPr>
        <w:t>rd</w:t>
      </w:r>
      <w:r>
        <w:t xml:space="preserve"> of the investment proposed in the financial year is proposed to be capitalized in the same year and the balance 1/3</w:t>
      </w:r>
      <w:r w:rsidRPr="00A92FD8">
        <w:rPr>
          <w:vertAlign w:val="superscript"/>
        </w:rPr>
        <w:t>rd</w:t>
      </w:r>
      <w:r>
        <w:t xml:space="preserve"> is carried forward to next financial year.</w:t>
      </w:r>
    </w:p>
    <w:p w:rsidR="007F7693" w:rsidRPr="00A92FD8" w:rsidRDefault="007F7693" w:rsidP="007F7693">
      <w:pPr>
        <w:pStyle w:val="EDNormal"/>
        <w:rPr>
          <w:highlight w:val="yellow"/>
          <w:lang w:bidi="hi-IN"/>
        </w:rPr>
      </w:pPr>
    </w:p>
    <w:p w:rsidR="007F7693" w:rsidRPr="00A92FD8" w:rsidRDefault="007F7693" w:rsidP="007F7693">
      <w:pPr>
        <w:pStyle w:val="ED-H3"/>
      </w:pPr>
      <w:r w:rsidRPr="00A92FD8">
        <w:t>With respect to central funding schemes, the capitalization is proposed based on schedule of completion of works.</w:t>
      </w:r>
    </w:p>
    <w:p w:rsidR="007F7693" w:rsidRPr="00E56CDF" w:rsidRDefault="007F7693" w:rsidP="007F7693">
      <w:pPr>
        <w:pStyle w:val="EDNormal"/>
      </w:pPr>
    </w:p>
    <w:p w:rsidR="007F7693" w:rsidRDefault="007F7693" w:rsidP="007F7693">
      <w:pPr>
        <w:pStyle w:val="ED-H3"/>
      </w:pPr>
      <w:r w:rsidRPr="00E56CDF">
        <w:t>Based on above proposed capitalisation, the proposed GFA for the control period is as follows.</w:t>
      </w:r>
    </w:p>
    <w:p w:rsidR="003472E1" w:rsidRPr="003472E1" w:rsidRDefault="003472E1" w:rsidP="003472E1"/>
    <w:p w:rsidR="007F7693" w:rsidRPr="00E56CDF" w:rsidRDefault="007F7693" w:rsidP="00061AA6">
      <w:pPr>
        <w:pStyle w:val="Caption"/>
      </w:pPr>
      <w:bookmarkStart w:id="132" w:name="_Toc523719585"/>
      <w:r w:rsidRPr="00E56CDF">
        <w:t xml:space="preserve">Table </w:t>
      </w:r>
      <w:r w:rsidR="00140E1B">
        <w:fldChar w:fldCharType="begin"/>
      </w:r>
      <w:r>
        <w:instrText xml:space="preserve"> SEQ Table \* ARABIC </w:instrText>
      </w:r>
      <w:r w:rsidR="00140E1B">
        <w:fldChar w:fldCharType="separate"/>
      </w:r>
      <w:r w:rsidR="004B7EE5">
        <w:rPr>
          <w:noProof/>
        </w:rPr>
        <w:t>26</w:t>
      </w:r>
      <w:r w:rsidR="00140E1B">
        <w:rPr>
          <w:noProof/>
        </w:rPr>
        <w:fldChar w:fldCharType="end"/>
      </w:r>
      <w:r w:rsidRPr="00E56CDF">
        <w:t>: Proposed GFA during the Control Period</w:t>
      </w:r>
      <w:bookmarkEnd w:id="132"/>
    </w:p>
    <w:p w:rsidR="007F7693" w:rsidRPr="00284B43" w:rsidRDefault="007F7693" w:rsidP="007F7693">
      <w:pPr>
        <w:ind w:left="5760" w:firstLine="720"/>
        <w:rPr>
          <w:sz w:val="20"/>
          <w:szCs w:val="20"/>
        </w:rPr>
      </w:pPr>
      <w:r w:rsidRPr="00284B43">
        <w:rPr>
          <w:sz w:val="20"/>
          <w:szCs w:val="20"/>
        </w:rPr>
        <w:t>(</w:t>
      </w:r>
      <w:r w:rsidRPr="003472E1">
        <w:rPr>
          <w:b/>
          <w:sz w:val="20"/>
          <w:szCs w:val="20"/>
        </w:rPr>
        <w:t>Rs. Cr</w:t>
      </w:r>
      <w:r w:rsidRPr="00284B43">
        <w:rPr>
          <w:sz w:val="20"/>
          <w:szCs w:val="20"/>
        </w:rPr>
        <w:t>)</w:t>
      </w:r>
    </w:p>
    <w:p w:rsidR="007F7693" w:rsidRDefault="008770D9" w:rsidP="008770D9">
      <w:pPr>
        <w:pStyle w:val="EDNormal"/>
        <w:jc w:val="center"/>
        <w:rPr>
          <w:lang w:val="en-US"/>
        </w:rPr>
      </w:pPr>
      <w:r w:rsidRPr="00F455CF">
        <w:rPr>
          <w:lang w:val="en-US"/>
        </w:rPr>
        <w:object w:dxaOrig="8922" w:dyaOrig="1547">
          <v:shape id="_x0000_i1035" type="#_x0000_t75" style="width:425.55pt;height:78.45pt" o:ole="">
            <v:imagedata r:id="rId41" o:title=""/>
          </v:shape>
          <o:OLEObject Type="Embed" ProgID="Excel.Sheet.12" ShapeID="_x0000_i1035" DrawAspect="Content" ObjectID="_1598429505" r:id="rId42"/>
        </w:object>
      </w:r>
    </w:p>
    <w:p w:rsidR="008770D9" w:rsidRPr="00E56CDF" w:rsidRDefault="008770D9" w:rsidP="008770D9">
      <w:pPr>
        <w:pStyle w:val="EDNormal"/>
        <w:jc w:val="center"/>
        <w:rPr>
          <w:lang w:val="en-US"/>
        </w:rPr>
      </w:pPr>
    </w:p>
    <w:p w:rsidR="00735CAB" w:rsidRDefault="007F7693" w:rsidP="007F7693">
      <w:pPr>
        <w:pStyle w:val="ED-H3"/>
      </w:pPr>
      <w:r w:rsidRPr="00E56CDF">
        <w:t>The petitioner requests the Hon’ble Commission to approve the capital expenditure, source-wise funding and capitalization for the control period.</w:t>
      </w:r>
      <w:r w:rsidR="00735CAB">
        <w:br w:type="page"/>
      </w:r>
    </w:p>
    <w:p w:rsidR="00B412C5" w:rsidRDefault="00B412C5">
      <w:pPr>
        <w:pStyle w:val="ED-H1"/>
      </w:pPr>
      <w:bookmarkStart w:id="133" w:name="_Toc523724496"/>
      <w:r>
        <w:lastRenderedPageBreak/>
        <w:t>No. of employees</w:t>
      </w:r>
      <w:bookmarkEnd w:id="133"/>
    </w:p>
    <w:p w:rsidR="00B412C5" w:rsidRPr="00B834C0" w:rsidRDefault="00B412C5" w:rsidP="00B412C5">
      <w:pPr>
        <w:pStyle w:val="ED-H3"/>
        <w:numPr>
          <w:ilvl w:val="0"/>
          <w:numId w:val="0"/>
        </w:numPr>
        <w:ind w:left="720"/>
      </w:pPr>
      <w:r>
        <w:t xml:space="preserve">As </w:t>
      </w:r>
      <w:r w:rsidRPr="00B834C0">
        <w:t xml:space="preserve">per Regulation 8 of the new MYT Regulations 2018 for the Control Period FY 2019-20 to FY 2021-22, the Business Plan shall cover as under: </w:t>
      </w:r>
    </w:p>
    <w:p w:rsidR="00B412C5" w:rsidRDefault="00B412C5" w:rsidP="00B412C5">
      <w:pPr>
        <w:pStyle w:val="EDNormal"/>
        <w:ind w:left="720"/>
        <w:rPr>
          <w:rFonts w:asciiTheme="minorHAnsi" w:eastAsia="Times New Roman" w:hAnsiTheme="minorHAnsi"/>
          <w:bCs/>
          <w:i/>
          <w:iCs/>
          <w:lang w:val="en-IN" w:bidi="hi-IN"/>
        </w:rPr>
      </w:pPr>
      <w:r>
        <w:rPr>
          <w:rFonts w:asciiTheme="minorHAnsi" w:eastAsia="Times New Roman" w:hAnsiTheme="minorHAnsi"/>
          <w:bCs/>
          <w:i/>
          <w:iCs/>
          <w:lang w:val="en-IN" w:bidi="hi-IN"/>
        </w:rPr>
        <w:t>Quote</w:t>
      </w:r>
    </w:p>
    <w:p w:rsidR="00B412C5" w:rsidRPr="009A6247" w:rsidRDefault="00B412C5" w:rsidP="00B412C5">
      <w:pPr>
        <w:pStyle w:val="EDNormal"/>
        <w:ind w:left="720"/>
        <w:rPr>
          <w:i/>
          <w:lang w:val="en-IN" w:bidi="hi-IN"/>
        </w:rPr>
      </w:pPr>
      <w:r>
        <w:rPr>
          <w:i/>
          <w:lang w:val="en-IN" w:bidi="hi-IN"/>
        </w:rPr>
        <w:t>“</w:t>
      </w:r>
      <w:r w:rsidRPr="009A6247">
        <w:rPr>
          <w:i/>
          <w:lang w:val="en-IN" w:bidi="hi-IN"/>
        </w:rPr>
        <w:t>8.4 The Business Plan filed by Distribution Licensee shall inter-alia contain;</w:t>
      </w:r>
    </w:p>
    <w:p w:rsidR="00B412C5" w:rsidRPr="009A6247" w:rsidRDefault="00B412C5" w:rsidP="00B412C5">
      <w:pPr>
        <w:pStyle w:val="EDNormal"/>
        <w:ind w:left="720"/>
        <w:rPr>
          <w:i/>
          <w:lang w:val="en-IN" w:bidi="hi-IN"/>
        </w:rPr>
      </w:pPr>
      <w:r w:rsidRPr="009A6247">
        <w:rPr>
          <w:i/>
          <w:lang w:val="en-IN" w:bidi="hi-IN"/>
        </w:rPr>
        <w:t>a) Capital Investment Plan for each Year of the Control Period commensurate with load growth, distribution loss reduction trajectory and quality improvement measures proposed in the Business Plan in accordance with Regulation 8.5;</w:t>
      </w:r>
    </w:p>
    <w:p w:rsidR="00B412C5" w:rsidRPr="009A6247" w:rsidRDefault="00B412C5" w:rsidP="00B412C5">
      <w:pPr>
        <w:pStyle w:val="EDNormal"/>
        <w:ind w:left="720"/>
        <w:rPr>
          <w:i/>
          <w:lang w:val="en-IN" w:bidi="hi-IN"/>
        </w:rPr>
      </w:pPr>
      <w:r w:rsidRPr="009A6247">
        <w:rPr>
          <w:i/>
          <w:lang w:val="en-IN" w:bidi="hi-IN"/>
        </w:rPr>
        <w:t>b) Capital Structure of each scheme proposed and cost of financing (interest on debt and return on equity), terms of the existing loan agreement</w:t>
      </w:r>
      <w:r>
        <w:rPr>
          <w:i/>
          <w:lang w:val="en-IN" w:bidi="hi-IN"/>
        </w:rPr>
        <w:t>s, etc</w:t>
      </w:r>
      <w:r w:rsidRPr="009A6247">
        <w:rPr>
          <w:i/>
          <w:lang w:val="en-IN" w:bidi="hi-IN"/>
        </w:rPr>
        <w:t>;</w:t>
      </w:r>
    </w:p>
    <w:p w:rsidR="00B412C5" w:rsidRPr="009A6247" w:rsidRDefault="00B412C5" w:rsidP="00B412C5">
      <w:pPr>
        <w:pStyle w:val="EDNormal"/>
        <w:ind w:left="720"/>
        <w:rPr>
          <w:i/>
          <w:lang w:val="en-IN" w:bidi="hi-IN"/>
        </w:rPr>
      </w:pPr>
      <w:r w:rsidRPr="009A6247">
        <w:rPr>
          <w:i/>
          <w:lang w:val="en-IN" w:bidi="hi-IN"/>
        </w:rPr>
        <w:t>c) Sales Forecast for each customer category and sub-categories for each Year of the Control Period in accordance with Regulation 8.6;</w:t>
      </w:r>
    </w:p>
    <w:p w:rsidR="00B412C5" w:rsidRPr="009A6247" w:rsidRDefault="00B412C5" w:rsidP="00B412C5">
      <w:pPr>
        <w:pStyle w:val="EDNormal"/>
        <w:ind w:left="720"/>
        <w:rPr>
          <w:i/>
          <w:lang w:val="en-IN" w:bidi="hi-IN"/>
        </w:rPr>
      </w:pPr>
      <w:r w:rsidRPr="009A6247">
        <w:rPr>
          <w:i/>
          <w:lang w:val="en-IN" w:bidi="hi-IN"/>
        </w:rPr>
        <w:t>d) Power Procurement Plan based on the Sales Forecast and distribution loss trajectory for each Year of the Control Period in accordance the Regulation 8.7;</w:t>
      </w:r>
    </w:p>
    <w:p w:rsidR="00B412C5" w:rsidRPr="009A6247" w:rsidRDefault="00B412C5" w:rsidP="00B412C5">
      <w:pPr>
        <w:pStyle w:val="EDNormal"/>
        <w:ind w:left="720"/>
        <w:rPr>
          <w:i/>
          <w:lang w:val="en-IN" w:bidi="hi-IN"/>
        </w:rPr>
      </w:pPr>
      <w:r w:rsidRPr="009A6247">
        <w:rPr>
          <w:i/>
          <w:lang w:val="en-IN" w:bidi="hi-IN"/>
        </w:rPr>
        <w:t>e) Targets for distribution loss for each Year of the Control Period consistent with the Capital Investment Plan proposed by the Licensee;</w:t>
      </w:r>
    </w:p>
    <w:p w:rsidR="00B412C5" w:rsidRPr="00B412C5" w:rsidRDefault="00B412C5" w:rsidP="00B412C5">
      <w:pPr>
        <w:pStyle w:val="EDNormal"/>
        <w:ind w:left="720"/>
        <w:rPr>
          <w:b/>
          <w:i/>
          <w:lang w:val="en-IN" w:bidi="hi-IN"/>
        </w:rPr>
      </w:pPr>
      <w:r w:rsidRPr="009A6247">
        <w:rPr>
          <w:i/>
          <w:lang w:val="en-IN" w:bidi="hi-IN"/>
        </w:rPr>
        <w:t xml:space="preserve">f) </w:t>
      </w:r>
      <w:r w:rsidRPr="00B412C5">
        <w:rPr>
          <w:b/>
          <w:i/>
          <w:lang w:val="en-IN" w:bidi="hi-IN"/>
        </w:rPr>
        <w:t>Projections for number of employees during each Year of the Control Period based on proposed recruitments and retirement;</w:t>
      </w:r>
    </w:p>
    <w:p w:rsidR="00B412C5" w:rsidRPr="009A6247" w:rsidRDefault="00B412C5" w:rsidP="00B412C5">
      <w:pPr>
        <w:pStyle w:val="EDNormal"/>
        <w:ind w:left="720"/>
        <w:rPr>
          <w:i/>
          <w:lang w:val="en-IN" w:bidi="hi-IN"/>
        </w:rPr>
      </w:pPr>
      <w:r w:rsidRPr="009A6247">
        <w:rPr>
          <w:i/>
          <w:lang w:val="en-IN" w:bidi="hi-IN"/>
        </w:rPr>
        <w:t>g) Proposals in respect of income from Other Business for each Year of the Control Period.</w:t>
      </w:r>
    </w:p>
    <w:p w:rsidR="00B412C5" w:rsidRDefault="00B412C5" w:rsidP="00B412C5">
      <w:pPr>
        <w:pStyle w:val="EDNormal"/>
        <w:rPr>
          <w:lang w:val="en-IN" w:bidi="hi-IN"/>
        </w:rPr>
      </w:pPr>
      <w:r>
        <w:rPr>
          <w:lang w:val="en-IN" w:bidi="hi-IN"/>
        </w:rPr>
        <w:t xml:space="preserve">            Unquote</w:t>
      </w:r>
    </w:p>
    <w:p w:rsidR="00B412C5" w:rsidRDefault="00B412C5" w:rsidP="00B412C5">
      <w:pPr>
        <w:pStyle w:val="ED-H2"/>
      </w:pPr>
      <w:bookmarkStart w:id="134" w:name="_Toc523724497"/>
      <w:r>
        <w:t>No. of Employees</w:t>
      </w:r>
      <w:bookmarkEnd w:id="134"/>
    </w:p>
    <w:p w:rsidR="00B412C5" w:rsidRDefault="00DB3E41" w:rsidP="00DB3E41">
      <w:pPr>
        <w:pStyle w:val="ED-H3"/>
      </w:pPr>
      <w:r>
        <w:t xml:space="preserve">PED has forecasted the no. of employees on the basis of the </w:t>
      </w:r>
      <w:r w:rsidR="007C11BA">
        <w:t>retirements</w:t>
      </w:r>
      <w:r>
        <w:t xml:space="preserve"> and recruitments in the control period.</w:t>
      </w:r>
    </w:p>
    <w:p w:rsidR="00B412C5" w:rsidRPr="00E56CDF" w:rsidRDefault="00B412C5" w:rsidP="00061AA6">
      <w:pPr>
        <w:pStyle w:val="Caption"/>
      </w:pPr>
      <w:bookmarkStart w:id="135" w:name="_Toc523719586"/>
      <w:r w:rsidRPr="00E56CDF">
        <w:t xml:space="preserve">Table </w:t>
      </w:r>
      <w:r w:rsidR="00140E1B">
        <w:fldChar w:fldCharType="begin"/>
      </w:r>
      <w:r>
        <w:instrText xml:space="preserve"> SEQ Table \* ARABIC </w:instrText>
      </w:r>
      <w:r w:rsidR="00140E1B">
        <w:fldChar w:fldCharType="separate"/>
      </w:r>
      <w:r w:rsidR="004B7EE5">
        <w:rPr>
          <w:noProof/>
        </w:rPr>
        <w:t>27</w:t>
      </w:r>
      <w:r w:rsidR="00140E1B">
        <w:rPr>
          <w:noProof/>
        </w:rPr>
        <w:fldChar w:fldCharType="end"/>
      </w:r>
      <w:r w:rsidRPr="00E56CDF">
        <w:t xml:space="preserve">: Proposed </w:t>
      </w:r>
      <w:r w:rsidR="00DB3E41">
        <w:t>No. of Employees</w:t>
      </w:r>
      <w:r w:rsidRPr="00E56CDF">
        <w:t xml:space="preserve"> during the Control Period</w:t>
      </w:r>
      <w:bookmarkEnd w:id="135"/>
    </w:p>
    <w:tbl>
      <w:tblPr>
        <w:tblW w:w="5718" w:type="pct"/>
        <w:tblInd w:w="-436" w:type="dxa"/>
        <w:tblLayout w:type="fixed"/>
        <w:tblLook w:val="04A0"/>
      </w:tblPr>
      <w:tblGrid>
        <w:gridCol w:w="690"/>
        <w:gridCol w:w="3948"/>
        <w:gridCol w:w="983"/>
        <w:gridCol w:w="1017"/>
        <w:gridCol w:w="880"/>
        <w:gridCol w:w="1017"/>
        <w:gridCol w:w="1019"/>
        <w:gridCol w:w="1019"/>
      </w:tblGrid>
      <w:tr w:rsidR="00DB3E41" w:rsidRPr="00B412C5" w:rsidTr="000E7480">
        <w:trPr>
          <w:trHeight w:val="20"/>
        </w:trPr>
        <w:tc>
          <w:tcPr>
            <w:tcW w:w="326" w:type="pct"/>
            <w:vMerge w:val="restart"/>
            <w:tcBorders>
              <w:top w:val="single" w:sz="8" w:space="0" w:color="auto"/>
              <w:left w:val="single" w:sz="8" w:space="0" w:color="auto"/>
              <w:bottom w:val="single" w:sz="4" w:space="0" w:color="auto"/>
              <w:right w:val="single" w:sz="4" w:space="0" w:color="auto"/>
            </w:tcBorders>
            <w:shd w:val="clear" w:color="000000" w:fill="ACB9CA"/>
            <w:vAlign w:val="center"/>
            <w:hideMark/>
          </w:tcPr>
          <w:p w:rsidR="00B412C5" w:rsidRPr="00B412C5" w:rsidRDefault="00B412C5" w:rsidP="00B412C5">
            <w:pPr>
              <w:spacing w:line="240" w:lineRule="auto"/>
              <w:jc w:val="center"/>
              <w:rPr>
                <w:b/>
                <w:bCs/>
                <w:sz w:val="20"/>
                <w:szCs w:val="20"/>
                <w:lang w:val="en-IN" w:eastAsia="en-IN"/>
              </w:rPr>
            </w:pPr>
            <w:r w:rsidRPr="00B412C5">
              <w:rPr>
                <w:b/>
                <w:bCs/>
                <w:sz w:val="20"/>
                <w:szCs w:val="20"/>
                <w:lang w:val="en-IN" w:eastAsia="en-IN"/>
              </w:rPr>
              <w:t xml:space="preserve">Sr.No </w:t>
            </w:r>
          </w:p>
        </w:tc>
        <w:tc>
          <w:tcPr>
            <w:tcW w:w="1867" w:type="pct"/>
            <w:vMerge w:val="restart"/>
            <w:tcBorders>
              <w:top w:val="single" w:sz="8" w:space="0" w:color="auto"/>
              <w:left w:val="single" w:sz="4" w:space="0" w:color="auto"/>
              <w:bottom w:val="single" w:sz="4" w:space="0" w:color="auto"/>
              <w:right w:val="single" w:sz="4" w:space="0" w:color="auto"/>
            </w:tcBorders>
            <w:shd w:val="clear" w:color="000000" w:fill="ACB9CA"/>
            <w:vAlign w:val="center"/>
            <w:hideMark/>
          </w:tcPr>
          <w:p w:rsidR="00B412C5" w:rsidRPr="00B412C5" w:rsidRDefault="00B412C5" w:rsidP="00B412C5">
            <w:pPr>
              <w:spacing w:line="240" w:lineRule="auto"/>
              <w:jc w:val="center"/>
              <w:rPr>
                <w:b/>
                <w:bCs/>
                <w:sz w:val="20"/>
                <w:szCs w:val="20"/>
                <w:lang w:val="en-IN" w:eastAsia="en-IN"/>
              </w:rPr>
            </w:pPr>
            <w:r w:rsidRPr="00B412C5">
              <w:rPr>
                <w:b/>
                <w:bCs/>
                <w:sz w:val="20"/>
                <w:szCs w:val="20"/>
                <w:lang w:val="en-IN" w:eastAsia="en-IN"/>
              </w:rPr>
              <w:t>Particulars</w:t>
            </w:r>
          </w:p>
        </w:tc>
        <w:tc>
          <w:tcPr>
            <w:tcW w:w="1362" w:type="pct"/>
            <w:gridSpan w:val="3"/>
            <w:tcBorders>
              <w:top w:val="single" w:sz="8" w:space="0" w:color="auto"/>
              <w:left w:val="nil"/>
              <w:bottom w:val="single" w:sz="4" w:space="0" w:color="auto"/>
              <w:right w:val="single" w:sz="4" w:space="0" w:color="000000"/>
            </w:tcBorders>
            <w:shd w:val="clear" w:color="000000" w:fill="ACB9CA"/>
            <w:vAlign w:val="center"/>
            <w:hideMark/>
          </w:tcPr>
          <w:p w:rsidR="00B412C5" w:rsidRPr="00B412C5" w:rsidRDefault="00B412C5" w:rsidP="00B412C5">
            <w:pPr>
              <w:spacing w:line="240" w:lineRule="auto"/>
              <w:jc w:val="center"/>
              <w:rPr>
                <w:b/>
                <w:bCs/>
                <w:sz w:val="20"/>
                <w:szCs w:val="20"/>
                <w:lang w:val="en-IN" w:eastAsia="en-IN"/>
              </w:rPr>
            </w:pPr>
            <w:r w:rsidRPr="00B412C5">
              <w:rPr>
                <w:b/>
                <w:bCs/>
                <w:sz w:val="20"/>
                <w:szCs w:val="20"/>
                <w:lang w:val="en-IN" w:eastAsia="en-IN"/>
              </w:rPr>
              <w:t>Actuals</w:t>
            </w:r>
          </w:p>
        </w:tc>
        <w:tc>
          <w:tcPr>
            <w:tcW w:w="1445" w:type="pct"/>
            <w:gridSpan w:val="3"/>
            <w:tcBorders>
              <w:top w:val="single" w:sz="8" w:space="0" w:color="auto"/>
              <w:left w:val="nil"/>
              <w:bottom w:val="single" w:sz="4" w:space="0" w:color="auto"/>
              <w:right w:val="single" w:sz="4" w:space="0" w:color="000000"/>
            </w:tcBorders>
            <w:shd w:val="clear" w:color="000000" w:fill="ACB9CA"/>
            <w:vAlign w:val="center"/>
            <w:hideMark/>
          </w:tcPr>
          <w:p w:rsidR="00B412C5" w:rsidRPr="00B412C5" w:rsidRDefault="00B412C5" w:rsidP="00B412C5">
            <w:pPr>
              <w:spacing w:line="240" w:lineRule="auto"/>
              <w:jc w:val="center"/>
              <w:rPr>
                <w:b/>
                <w:bCs/>
                <w:sz w:val="20"/>
                <w:szCs w:val="20"/>
                <w:lang w:val="en-IN" w:eastAsia="en-IN"/>
              </w:rPr>
            </w:pPr>
            <w:r w:rsidRPr="00B412C5">
              <w:rPr>
                <w:b/>
                <w:bCs/>
                <w:sz w:val="20"/>
                <w:szCs w:val="20"/>
                <w:lang w:val="en-IN" w:eastAsia="en-IN"/>
              </w:rPr>
              <w:t>Projections</w:t>
            </w:r>
          </w:p>
        </w:tc>
      </w:tr>
      <w:tr w:rsidR="00DB3E41" w:rsidRPr="00B412C5" w:rsidTr="000E7480">
        <w:trPr>
          <w:trHeight w:val="20"/>
        </w:trPr>
        <w:tc>
          <w:tcPr>
            <w:tcW w:w="326" w:type="pct"/>
            <w:vMerge/>
            <w:tcBorders>
              <w:top w:val="single" w:sz="8" w:space="0" w:color="auto"/>
              <w:left w:val="single" w:sz="8" w:space="0" w:color="auto"/>
              <w:bottom w:val="single" w:sz="4" w:space="0" w:color="auto"/>
              <w:right w:val="single" w:sz="4" w:space="0" w:color="auto"/>
            </w:tcBorders>
            <w:vAlign w:val="center"/>
            <w:hideMark/>
          </w:tcPr>
          <w:p w:rsidR="00B412C5" w:rsidRPr="00B412C5" w:rsidRDefault="00B412C5" w:rsidP="00B412C5">
            <w:pPr>
              <w:spacing w:line="240" w:lineRule="auto"/>
              <w:jc w:val="left"/>
              <w:rPr>
                <w:b/>
                <w:bCs/>
                <w:sz w:val="20"/>
                <w:szCs w:val="20"/>
                <w:lang w:val="en-IN" w:eastAsia="en-IN"/>
              </w:rPr>
            </w:pPr>
          </w:p>
        </w:tc>
        <w:tc>
          <w:tcPr>
            <w:tcW w:w="1867" w:type="pct"/>
            <w:vMerge/>
            <w:tcBorders>
              <w:top w:val="single" w:sz="8" w:space="0" w:color="auto"/>
              <w:left w:val="single" w:sz="4" w:space="0" w:color="auto"/>
              <w:bottom w:val="single" w:sz="4" w:space="0" w:color="auto"/>
              <w:right w:val="single" w:sz="4" w:space="0" w:color="auto"/>
            </w:tcBorders>
            <w:vAlign w:val="center"/>
            <w:hideMark/>
          </w:tcPr>
          <w:p w:rsidR="00B412C5" w:rsidRPr="00B412C5" w:rsidRDefault="00B412C5" w:rsidP="00B412C5">
            <w:pPr>
              <w:spacing w:line="240" w:lineRule="auto"/>
              <w:jc w:val="left"/>
              <w:rPr>
                <w:b/>
                <w:bCs/>
                <w:sz w:val="20"/>
                <w:szCs w:val="20"/>
                <w:lang w:val="en-IN" w:eastAsia="en-IN"/>
              </w:rPr>
            </w:pPr>
          </w:p>
        </w:tc>
        <w:tc>
          <w:tcPr>
            <w:tcW w:w="465" w:type="pct"/>
            <w:tcBorders>
              <w:top w:val="nil"/>
              <w:left w:val="nil"/>
              <w:bottom w:val="single" w:sz="4" w:space="0" w:color="auto"/>
              <w:right w:val="single" w:sz="4" w:space="0" w:color="auto"/>
            </w:tcBorders>
            <w:shd w:val="clear" w:color="000000" w:fill="ACB9CA"/>
            <w:noWrap/>
            <w:vAlign w:val="center"/>
            <w:hideMark/>
          </w:tcPr>
          <w:p w:rsidR="00B412C5" w:rsidRPr="00B412C5" w:rsidRDefault="00B412C5" w:rsidP="00B412C5">
            <w:pPr>
              <w:spacing w:line="240" w:lineRule="auto"/>
              <w:jc w:val="center"/>
              <w:rPr>
                <w:b/>
                <w:bCs/>
                <w:color w:val="000000"/>
                <w:sz w:val="22"/>
                <w:szCs w:val="22"/>
                <w:lang w:val="en-IN" w:eastAsia="en-IN"/>
              </w:rPr>
            </w:pPr>
            <w:r w:rsidRPr="00B412C5">
              <w:rPr>
                <w:b/>
                <w:bCs/>
                <w:color w:val="000000"/>
                <w:sz w:val="22"/>
                <w:szCs w:val="22"/>
                <w:lang w:val="en-IN" w:eastAsia="en-IN"/>
              </w:rPr>
              <w:t>FY 2016-17</w:t>
            </w:r>
          </w:p>
        </w:tc>
        <w:tc>
          <w:tcPr>
            <w:tcW w:w="481" w:type="pct"/>
            <w:tcBorders>
              <w:top w:val="nil"/>
              <w:left w:val="nil"/>
              <w:bottom w:val="single" w:sz="4" w:space="0" w:color="auto"/>
              <w:right w:val="single" w:sz="4" w:space="0" w:color="auto"/>
            </w:tcBorders>
            <w:shd w:val="clear" w:color="000000" w:fill="ACB9CA"/>
            <w:noWrap/>
            <w:vAlign w:val="center"/>
            <w:hideMark/>
          </w:tcPr>
          <w:p w:rsidR="00B412C5" w:rsidRPr="00B412C5" w:rsidRDefault="00B412C5" w:rsidP="00B412C5">
            <w:pPr>
              <w:spacing w:line="240" w:lineRule="auto"/>
              <w:jc w:val="center"/>
              <w:rPr>
                <w:b/>
                <w:bCs/>
                <w:color w:val="000000"/>
                <w:sz w:val="22"/>
                <w:szCs w:val="22"/>
                <w:lang w:val="en-IN" w:eastAsia="en-IN"/>
              </w:rPr>
            </w:pPr>
            <w:r w:rsidRPr="00B412C5">
              <w:rPr>
                <w:b/>
                <w:bCs/>
                <w:color w:val="000000"/>
                <w:sz w:val="22"/>
                <w:szCs w:val="22"/>
                <w:lang w:val="en-IN" w:eastAsia="en-IN"/>
              </w:rPr>
              <w:t>FY 2017-18</w:t>
            </w:r>
          </w:p>
        </w:tc>
        <w:tc>
          <w:tcPr>
            <w:tcW w:w="415" w:type="pct"/>
            <w:tcBorders>
              <w:top w:val="nil"/>
              <w:left w:val="nil"/>
              <w:bottom w:val="single" w:sz="4" w:space="0" w:color="auto"/>
              <w:right w:val="single" w:sz="4" w:space="0" w:color="auto"/>
            </w:tcBorders>
            <w:shd w:val="clear" w:color="000000" w:fill="ACB9CA"/>
            <w:noWrap/>
            <w:vAlign w:val="center"/>
            <w:hideMark/>
          </w:tcPr>
          <w:p w:rsidR="00B412C5" w:rsidRPr="00B412C5" w:rsidRDefault="00B412C5" w:rsidP="00B412C5">
            <w:pPr>
              <w:spacing w:line="240" w:lineRule="auto"/>
              <w:jc w:val="center"/>
              <w:rPr>
                <w:b/>
                <w:bCs/>
                <w:color w:val="000000"/>
                <w:sz w:val="22"/>
                <w:szCs w:val="22"/>
                <w:lang w:val="en-IN" w:eastAsia="en-IN"/>
              </w:rPr>
            </w:pPr>
            <w:r w:rsidRPr="00B412C5">
              <w:rPr>
                <w:b/>
                <w:bCs/>
                <w:color w:val="000000"/>
                <w:sz w:val="22"/>
                <w:szCs w:val="22"/>
                <w:lang w:val="en-IN" w:eastAsia="en-IN"/>
              </w:rPr>
              <w:t>FY 2018-19</w:t>
            </w:r>
          </w:p>
        </w:tc>
        <w:tc>
          <w:tcPr>
            <w:tcW w:w="481" w:type="pct"/>
            <w:tcBorders>
              <w:top w:val="nil"/>
              <w:left w:val="nil"/>
              <w:bottom w:val="single" w:sz="4" w:space="0" w:color="auto"/>
              <w:right w:val="single" w:sz="4" w:space="0" w:color="auto"/>
            </w:tcBorders>
            <w:shd w:val="clear" w:color="000000" w:fill="ACB9CA"/>
            <w:noWrap/>
            <w:vAlign w:val="center"/>
            <w:hideMark/>
          </w:tcPr>
          <w:p w:rsidR="00B412C5" w:rsidRPr="00B412C5" w:rsidRDefault="00B412C5" w:rsidP="00B412C5">
            <w:pPr>
              <w:spacing w:line="240" w:lineRule="auto"/>
              <w:jc w:val="center"/>
              <w:rPr>
                <w:b/>
                <w:bCs/>
                <w:color w:val="000000"/>
                <w:sz w:val="22"/>
                <w:szCs w:val="22"/>
                <w:lang w:val="en-IN" w:eastAsia="en-IN"/>
              </w:rPr>
            </w:pPr>
            <w:r w:rsidRPr="00B412C5">
              <w:rPr>
                <w:b/>
                <w:bCs/>
                <w:color w:val="000000"/>
                <w:sz w:val="22"/>
                <w:szCs w:val="22"/>
                <w:lang w:val="en-IN" w:eastAsia="en-IN"/>
              </w:rPr>
              <w:t>FY 2019-20</w:t>
            </w:r>
          </w:p>
        </w:tc>
        <w:tc>
          <w:tcPr>
            <w:tcW w:w="482" w:type="pct"/>
            <w:tcBorders>
              <w:top w:val="nil"/>
              <w:left w:val="nil"/>
              <w:bottom w:val="single" w:sz="4" w:space="0" w:color="auto"/>
              <w:right w:val="single" w:sz="4" w:space="0" w:color="auto"/>
            </w:tcBorders>
            <w:shd w:val="clear" w:color="000000" w:fill="ACB9CA"/>
            <w:noWrap/>
            <w:vAlign w:val="center"/>
            <w:hideMark/>
          </w:tcPr>
          <w:p w:rsidR="00B412C5" w:rsidRPr="00B412C5" w:rsidRDefault="00B412C5" w:rsidP="00B412C5">
            <w:pPr>
              <w:spacing w:line="240" w:lineRule="auto"/>
              <w:jc w:val="center"/>
              <w:rPr>
                <w:b/>
                <w:bCs/>
                <w:color w:val="000000"/>
                <w:sz w:val="22"/>
                <w:szCs w:val="22"/>
                <w:lang w:val="en-IN" w:eastAsia="en-IN"/>
              </w:rPr>
            </w:pPr>
            <w:r w:rsidRPr="00B412C5">
              <w:rPr>
                <w:b/>
                <w:bCs/>
                <w:color w:val="000000"/>
                <w:sz w:val="22"/>
                <w:szCs w:val="22"/>
                <w:lang w:val="en-IN" w:eastAsia="en-IN"/>
              </w:rPr>
              <w:t>FY 2020-21</w:t>
            </w:r>
          </w:p>
        </w:tc>
        <w:tc>
          <w:tcPr>
            <w:tcW w:w="482" w:type="pct"/>
            <w:tcBorders>
              <w:top w:val="nil"/>
              <w:left w:val="nil"/>
              <w:bottom w:val="single" w:sz="4" w:space="0" w:color="auto"/>
              <w:right w:val="single" w:sz="4" w:space="0" w:color="auto"/>
            </w:tcBorders>
            <w:shd w:val="clear" w:color="000000" w:fill="ACB9CA"/>
            <w:noWrap/>
            <w:vAlign w:val="center"/>
            <w:hideMark/>
          </w:tcPr>
          <w:p w:rsidR="00B412C5" w:rsidRPr="00B412C5" w:rsidRDefault="00B412C5" w:rsidP="00B412C5">
            <w:pPr>
              <w:spacing w:line="240" w:lineRule="auto"/>
              <w:jc w:val="center"/>
              <w:rPr>
                <w:b/>
                <w:bCs/>
                <w:color w:val="000000"/>
                <w:sz w:val="22"/>
                <w:szCs w:val="22"/>
                <w:lang w:val="en-IN" w:eastAsia="en-IN"/>
              </w:rPr>
            </w:pPr>
            <w:r w:rsidRPr="00B412C5">
              <w:rPr>
                <w:b/>
                <w:bCs/>
                <w:color w:val="000000"/>
                <w:sz w:val="22"/>
                <w:szCs w:val="22"/>
                <w:lang w:val="en-IN" w:eastAsia="en-IN"/>
              </w:rPr>
              <w:t>FY 2021-22</w:t>
            </w:r>
          </w:p>
        </w:tc>
      </w:tr>
      <w:tr w:rsidR="00DB3E41" w:rsidRPr="00B412C5" w:rsidTr="000E7480">
        <w:trPr>
          <w:trHeight w:val="20"/>
        </w:trPr>
        <w:tc>
          <w:tcPr>
            <w:tcW w:w="326" w:type="pct"/>
            <w:tcBorders>
              <w:top w:val="nil"/>
              <w:left w:val="single" w:sz="8" w:space="0" w:color="auto"/>
              <w:bottom w:val="single" w:sz="4" w:space="0" w:color="auto"/>
              <w:right w:val="single" w:sz="4" w:space="0" w:color="auto"/>
            </w:tcBorders>
            <w:shd w:val="clear" w:color="auto" w:fill="auto"/>
            <w:noWrap/>
            <w:vAlign w:val="bottom"/>
            <w:hideMark/>
          </w:tcPr>
          <w:p w:rsidR="00B412C5" w:rsidRPr="00B412C5" w:rsidRDefault="00B412C5" w:rsidP="00B412C5">
            <w:pPr>
              <w:spacing w:line="240" w:lineRule="auto"/>
              <w:jc w:val="center"/>
              <w:rPr>
                <w:color w:val="000000"/>
                <w:sz w:val="22"/>
                <w:szCs w:val="22"/>
                <w:lang w:val="en-IN" w:eastAsia="en-IN"/>
              </w:rPr>
            </w:pPr>
            <w:r w:rsidRPr="00B412C5">
              <w:rPr>
                <w:color w:val="000000"/>
                <w:sz w:val="22"/>
                <w:szCs w:val="22"/>
                <w:lang w:val="en-IN" w:eastAsia="en-IN"/>
              </w:rPr>
              <w:t>1</w:t>
            </w:r>
          </w:p>
        </w:tc>
        <w:tc>
          <w:tcPr>
            <w:tcW w:w="1867" w:type="pct"/>
            <w:tcBorders>
              <w:top w:val="nil"/>
              <w:left w:val="nil"/>
              <w:bottom w:val="single" w:sz="4" w:space="0" w:color="auto"/>
              <w:right w:val="single" w:sz="4" w:space="0" w:color="auto"/>
            </w:tcBorders>
            <w:shd w:val="clear" w:color="auto" w:fill="auto"/>
            <w:vAlign w:val="center"/>
            <w:hideMark/>
          </w:tcPr>
          <w:p w:rsidR="00B412C5" w:rsidRPr="00B412C5" w:rsidRDefault="00B412C5" w:rsidP="00DB3E41">
            <w:pPr>
              <w:spacing w:line="240" w:lineRule="auto"/>
              <w:jc w:val="left"/>
              <w:rPr>
                <w:color w:val="000000"/>
                <w:sz w:val="22"/>
                <w:szCs w:val="22"/>
                <w:lang w:val="en-IN" w:eastAsia="en-IN"/>
              </w:rPr>
            </w:pPr>
            <w:r w:rsidRPr="00B412C5">
              <w:rPr>
                <w:color w:val="000000"/>
                <w:sz w:val="22"/>
                <w:szCs w:val="22"/>
                <w:lang w:val="en-IN" w:eastAsia="en-IN"/>
              </w:rPr>
              <w:t>Number of employees as on 1st April</w:t>
            </w:r>
          </w:p>
        </w:tc>
        <w:tc>
          <w:tcPr>
            <w:tcW w:w="465" w:type="pct"/>
            <w:tcBorders>
              <w:top w:val="nil"/>
              <w:left w:val="nil"/>
              <w:bottom w:val="single" w:sz="4" w:space="0" w:color="auto"/>
              <w:right w:val="single" w:sz="4" w:space="0" w:color="auto"/>
            </w:tcBorders>
            <w:shd w:val="clear" w:color="auto" w:fill="auto"/>
            <w:noWrap/>
            <w:vAlign w:val="center"/>
            <w:hideMark/>
          </w:tcPr>
          <w:p w:rsidR="00B412C5" w:rsidRPr="000E7480" w:rsidRDefault="000E7480" w:rsidP="00DB3E41">
            <w:pPr>
              <w:spacing w:line="240" w:lineRule="auto"/>
              <w:jc w:val="center"/>
              <w:rPr>
                <w:color w:val="000000"/>
                <w:sz w:val="22"/>
                <w:szCs w:val="22"/>
                <w:lang w:val="en-IN" w:eastAsia="en-IN"/>
              </w:rPr>
            </w:pPr>
            <w:r w:rsidRPr="000E7480">
              <w:rPr>
                <w:color w:val="000000"/>
                <w:sz w:val="22"/>
                <w:szCs w:val="22"/>
                <w:lang w:val="en-IN" w:eastAsia="en-IN"/>
              </w:rPr>
              <w:t>2179</w:t>
            </w:r>
          </w:p>
        </w:tc>
        <w:tc>
          <w:tcPr>
            <w:tcW w:w="481" w:type="pct"/>
            <w:tcBorders>
              <w:top w:val="nil"/>
              <w:left w:val="nil"/>
              <w:bottom w:val="single" w:sz="4" w:space="0" w:color="auto"/>
              <w:right w:val="single" w:sz="4" w:space="0" w:color="auto"/>
            </w:tcBorders>
            <w:shd w:val="clear" w:color="auto" w:fill="auto"/>
            <w:noWrap/>
            <w:vAlign w:val="center"/>
            <w:hideMark/>
          </w:tcPr>
          <w:p w:rsidR="00B412C5" w:rsidRPr="000E7480" w:rsidRDefault="000E7480" w:rsidP="00DB3E41">
            <w:pPr>
              <w:spacing w:line="240" w:lineRule="auto"/>
              <w:jc w:val="center"/>
              <w:rPr>
                <w:color w:val="000000"/>
                <w:sz w:val="22"/>
                <w:szCs w:val="22"/>
                <w:lang w:val="en-IN" w:eastAsia="en-IN"/>
              </w:rPr>
            </w:pPr>
            <w:r w:rsidRPr="000E7480">
              <w:rPr>
                <w:color w:val="000000"/>
                <w:sz w:val="22"/>
                <w:szCs w:val="22"/>
                <w:lang w:val="en-IN" w:eastAsia="en-IN"/>
              </w:rPr>
              <w:t>2265</w:t>
            </w:r>
          </w:p>
        </w:tc>
        <w:tc>
          <w:tcPr>
            <w:tcW w:w="415" w:type="pct"/>
            <w:tcBorders>
              <w:top w:val="nil"/>
              <w:left w:val="nil"/>
              <w:bottom w:val="single" w:sz="4" w:space="0" w:color="auto"/>
              <w:right w:val="single" w:sz="4" w:space="0" w:color="auto"/>
            </w:tcBorders>
            <w:shd w:val="clear" w:color="auto" w:fill="auto"/>
            <w:noWrap/>
            <w:vAlign w:val="center"/>
            <w:hideMark/>
          </w:tcPr>
          <w:p w:rsidR="00B412C5" w:rsidRPr="000E7480" w:rsidRDefault="000E7480" w:rsidP="00DB3E41">
            <w:pPr>
              <w:spacing w:line="240" w:lineRule="auto"/>
              <w:jc w:val="center"/>
              <w:rPr>
                <w:color w:val="000000"/>
                <w:sz w:val="22"/>
                <w:szCs w:val="22"/>
                <w:lang w:val="en-IN" w:eastAsia="en-IN"/>
              </w:rPr>
            </w:pPr>
            <w:r w:rsidRPr="000E7480">
              <w:rPr>
                <w:color w:val="000000"/>
                <w:sz w:val="22"/>
                <w:szCs w:val="22"/>
                <w:lang w:val="en-IN" w:eastAsia="en-IN"/>
              </w:rPr>
              <w:t>2233</w:t>
            </w:r>
          </w:p>
        </w:tc>
        <w:tc>
          <w:tcPr>
            <w:tcW w:w="481" w:type="pct"/>
            <w:tcBorders>
              <w:top w:val="nil"/>
              <w:left w:val="nil"/>
              <w:bottom w:val="single" w:sz="4" w:space="0" w:color="auto"/>
              <w:right w:val="single" w:sz="4" w:space="0" w:color="auto"/>
            </w:tcBorders>
            <w:shd w:val="clear" w:color="auto" w:fill="auto"/>
            <w:noWrap/>
            <w:vAlign w:val="center"/>
            <w:hideMark/>
          </w:tcPr>
          <w:p w:rsidR="00B412C5" w:rsidRPr="000E7480" w:rsidRDefault="000E7480" w:rsidP="00DB3E41">
            <w:pPr>
              <w:spacing w:line="240" w:lineRule="auto"/>
              <w:jc w:val="center"/>
              <w:rPr>
                <w:color w:val="000000"/>
                <w:sz w:val="22"/>
                <w:szCs w:val="22"/>
                <w:lang w:val="en-IN" w:eastAsia="en-IN"/>
              </w:rPr>
            </w:pPr>
            <w:r w:rsidRPr="000E7480">
              <w:rPr>
                <w:color w:val="000000"/>
                <w:sz w:val="22"/>
                <w:szCs w:val="22"/>
                <w:lang w:val="en-IN" w:eastAsia="en-IN"/>
              </w:rPr>
              <w:t>2203</w:t>
            </w:r>
          </w:p>
        </w:tc>
        <w:tc>
          <w:tcPr>
            <w:tcW w:w="482" w:type="pct"/>
            <w:tcBorders>
              <w:top w:val="nil"/>
              <w:left w:val="nil"/>
              <w:bottom w:val="single" w:sz="4" w:space="0" w:color="auto"/>
              <w:right w:val="single" w:sz="4" w:space="0" w:color="auto"/>
            </w:tcBorders>
            <w:shd w:val="clear" w:color="auto" w:fill="auto"/>
            <w:noWrap/>
            <w:vAlign w:val="center"/>
            <w:hideMark/>
          </w:tcPr>
          <w:p w:rsidR="00B412C5" w:rsidRPr="000E7480" w:rsidRDefault="000E7480" w:rsidP="00DB3E41">
            <w:pPr>
              <w:spacing w:line="240" w:lineRule="auto"/>
              <w:jc w:val="center"/>
              <w:rPr>
                <w:color w:val="000000"/>
                <w:sz w:val="22"/>
                <w:szCs w:val="22"/>
                <w:lang w:val="en-IN" w:eastAsia="en-IN"/>
              </w:rPr>
            </w:pPr>
            <w:r w:rsidRPr="000E7480">
              <w:rPr>
                <w:color w:val="000000"/>
                <w:sz w:val="22"/>
                <w:szCs w:val="22"/>
                <w:lang w:val="en-IN" w:eastAsia="en-IN"/>
              </w:rPr>
              <w:t>237</w:t>
            </w:r>
          </w:p>
        </w:tc>
        <w:tc>
          <w:tcPr>
            <w:tcW w:w="482" w:type="pct"/>
            <w:tcBorders>
              <w:top w:val="nil"/>
              <w:left w:val="nil"/>
              <w:bottom w:val="single" w:sz="4" w:space="0" w:color="auto"/>
              <w:right w:val="single" w:sz="4" w:space="0" w:color="auto"/>
            </w:tcBorders>
            <w:shd w:val="clear" w:color="auto" w:fill="auto"/>
            <w:noWrap/>
            <w:vAlign w:val="center"/>
            <w:hideMark/>
          </w:tcPr>
          <w:p w:rsidR="00B412C5" w:rsidRPr="000E7480" w:rsidRDefault="000E7480" w:rsidP="00DB3E41">
            <w:pPr>
              <w:spacing w:line="240" w:lineRule="auto"/>
              <w:jc w:val="center"/>
              <w:rPr>
                <w:color w:val="000000"/>
                <w:sz w:val="22"/>
                <w:szCs w:val="22"/>
                <w:lang w:val="en-IN" w:eastAsia="en-IN"/>
              </w:rPr>
            </w:pPr>
            <w:r w:rsidRPr="000E7480">
              <w:rPr>
                <w:color w:val="000000"/>
                <w:sz w:val="22"/>
                <w:szCs w:val="22"/>
                <w:lang w:val="en-IN" w:eastAsia="en-IN"/>
              </w:rPr>
              <w:t>2242</w:t>
            </w:r>
          </w:p>
        </w:tc>
      </w:tr>
      <w:tr w:rsidR="00DB3E41" w:rsidRPr="00B412C5" w:rsidTr="000E7480">
        <w:trPr>
          <w:trHeight w:val="20"/>
        </w:trPr>
        <w:tc>
          <w:tcPr>
            <w:tcW w:w="326" w:type="pct"/>
            <w:tcBorders>
              <w:top w:val="nil"/>
              <w:left w:val="single" w:sz="8" w:space="0" w:color="auto"/>
              <w:bottom w:val="single" w:sz="4" w:space="0" w:color="auto"/>
              <w:right w:val="single" w:sz="4" w:space="0" w:color="auto"/>
            </w:tcBorders>
            <w:shd w:val="clear" w:color="auto" w:fill="auto"/>
            <w:noWrap/>
            <w:vAlign w:val="bottom"/>
            <w:hideMark/>
          </w:tcPr>
          <w:p w:rsidR="00B412C5" w:rsidRPr="00B412C5" w:rsidRDefault="00B412C5" w:rsidP="00B412C5">
            <w:pPr>
              <w:spacing w:line="240" w:lineRule="auto"/>
              <w:jc w:val="center"/>
              <w:rPr>
                <w:color w:val="000000"/>
                <w:sz w:val="22"/>
                <w:szCs w:val="22"/>
                <w:lang w:val="en-IN" w:eastAsia="en-IN"/>
              </w:rPr>
            </w:pPr>
            <w:r w:rsidRPr="00B412C5">
              <w:rPr>
                <w:color w:val="000000"/>
                <w:sz w:val="22"/>
                <w:szCs w:val="22"/>
                <w:lang w:val="en-IN" w:eastAsia="en-IN"/>
              </w:rPr>
              <w:t>2</w:t>
            </w:r>
          </w:p>
        </w:tc>
        <w:tc>
          <w:tcPr>
            <w:tcW w:w="1867" w:type="pct"/>
            <w:tcBorders>
              <w:top w:val="nil"/>
              <w:left w:val="nil"/>
              <w:bottom w:val="single" w:sz="4" w:space="0" w:color="auto"/>
              <w:right w:val="single" w:sz="4" w:space="0" w:color="auto"/>
            </w:tcBorders>
            <w:shd w:val="clear" w:color="auto" w:fill="auto"/>
            <w:vAlign w:val="center"/>
            <w:hideMark/>
          </w:tcPr>
          <w:p w:rsidR="00B412C5" w:rsidRPr="00B412C5" w:rsidRDefault="00B412C5" w:rsidP="00DB3E41">
            <w:pPr>
              <w:spacing w:line="240" w:lineRule="auto"/>
              <w:jc w:val="left"/>
              <w:rPr>
                <w:color w:val="000000"/>
                <w:sz w:val="22"/>
                <w:szCs w:val="22"/>
                <w:lang w:val="en-IN" w:eastAsia="en-IN"/>
              </w:rPr>
            </w:pPr>
            <w:r w:rsidRPr="00B412C5">
              <w:rPr>
                <w:color w:val="000000"/>
                <w:sz w:val="22"/>
                <w:szCs w:val="22"/>
                <w:lang w:val="en-IN" w:eastAsia="en-IN"/>
              </w:rPr>
              <w:t>Employees on deputation/ foreign service as on 1st April</w:t>
            </w:r>
          </w:p>
        </w:tc>
        <w:tc>
          <w:tcPr>
            <w:tcW w:w="465" w:type="pct"/>
            <w:tcBorders>
              <w:top w:val="nil"/>
              <w:left w:val="nil"/>
              <w:bottom w:val="single" w:sz="4" w:space="0" w:color="auto"/>
              <w:right w:val="single" w:sz="4" w:space="0" w:color="auto"/>
            </w:tcBorders>
            <w:shd w:val="clear" w:color="auto" w:fill="auto"/>
            <w:noWrap/>
            <w:vAlign w:val="center"/>
            <w:hideMark/>
          </w:tcPr>
          <w:p w:rsidR="00B412C5" w:rsidRPr="000E7480" w:rsidRDefault="00B412C5" w:rsidP="00DB3E41">
            <w:pPr>
              <w:spacing w:line="240" w:lineRule="auto"/>
              <w:jc w:val="center"/>
              <w:rPr>
                <w:color w:val="000000"/>
                <w:sz w:val="22"/>
                <w:szCs w:val="22"/>
                <w:lang w:val="en-IN" w:eastAsia="en-IN"/>
              </w:rPr>
            </w:pPr>
          </w:p>
        </w:tc>
        <w:tc>
          <w:tcPr>
            <w:tcW w:w="481" w:type="pct"/>
            <w:tcBorders>
              <w:top w:val="nil"/>
              <w:left w:val="nil"/>
              <w:bottom w:val="single" w:sz="4" w:space="0" w:color="auto"/>
              <w:right w:val="single" w:sz="4" w:space="0" w:color="auto"/>
            </w:tcBorders>
            <w:shd w:val="clear" w:color="auto" w:fill="auto"/>
            <w:noWrap/>
            <w:vAlign w:val="center"/>
            <w:hideMark/>
          </w:tcPr>
          <w:p w:rsidR="00B412C5" w:rsidRPr="000E7480" w:rsidRDefault="00B412C5" w:rsidP="00DB3E41">
            <w:pPr>
              <w:spacing w:line="240" w:lineRule="auto"/>
              <w:jc w:val="center"/>
              <w:rPr>
                <w:color w:val="000000"/>
                <w:sz w:val="22"/>
                <w:szCs w:val="22"/>
                <w:lang w:val="en-IN" w:eastAsia="en-IN"/>
              </w:rPr>
            </w:pPr>
          </w:p>
        </w:tc>
        <w:tc>
          <w:tcPr>
            <w:tcW w:w="415" w:type="pct"/>
            <w:tcBorders>
              <w:top w:val="nil"/>
              <w:left w:val="nil"/>
              <w:bottom w:val="single" w:sz="4" w:space="0" w:color="auto"/>
              <w:right w:val="single" w:sz="4" w:space="0" w:color="auto"/>
            </w:tcBorders>
            <w:shd w:val="clear" w:color="auto" w:fill="auto"/>
            <w:noWrap/>
            <w:vAlign w:val="center"/>
            <w:hideMark/>
          </w:tcPr>
          <w:p w:rsidR="00B412C5" w:rsidRPr="000E7480" w:rsidRDefault="00B412C5" w:rsidP="00DB3E41">
            <w:pPr>
              <w:spacing w:line="240" w:lineRule="auto"/>
              <w:jc w:val="center"/>
              <w:rPr>
                <w:color w:val="000000"/>
                <w:sz w:val="22"/>
                <w:szCs w:val="22"/>
                <w:lang w:val="en-IN" w:eastAsia="en-IN"/>
              </w:rPr>
            </w:pPr>
          </w:p>
        </w:tc>
        <w:tc>
          <w:tcPr>
            <w:tcW w:w="481" w:type="pct"/>
            <w:tcBorders>
              <w:top w:val="nil"/>
              <w:left w:val="nil"/>
              <w:bottom w:val="single" w:sz="4" w:space="0" w:color="auto"/>
              <w:right w:val="single" w:sz="4" w:space="0" w:color="auto"/>
            </w:tcBorders>
            <w:shd w:val="clear" w:color="auto" w:fill="auto"/>
            <w:noWrap/>
            <w:vAlign w:val="center"/>
            <w:hideMark/>
          </w:tcPr>
          <w:p w:rsidR="00B412C5" w:rsidRPr="000E7480" w:rsidRDefault="00B412C5" w:rsidP="00DB3E41">
            <w:pPr>
              <w:spacing w:line="240" w:lineRule="auto"/>
              <w:jc w:val="center"/>
              <w:rPr>
                <w:color w:val="000000"/>
                <w:sz w:val="22"/>
                <w:szCs w:val="22"/>
                <w:lang w:val="en-IN" w:eastAsia="en-IN"/>
              </w:rPr>
            </w:pPr>
          </w:p>
        </w:tc>
        <w:tc>
          <w:tcPr>
            <w:tcW w:w="482" w:type="pct"/>
            <w:tcBorders>
              <w:top w:val="nil"/>
              <w:left w:val="nil"/>
              <w:bottom w:val="single" w:sz="4" w:space="0" w:color="auto"/>
              <w:right w:val="single" w:sz="4" w:space="0" w:color="auto"/>
            </w:tcBorders>
            <w:shd w:val="clear" w:color="auto" w:fill="auto"/>
            <w:noWrap/>
            <w:vAlign w:val="center"/>
            <w:hideMark/>
          </w:tcPr>
          <w:p w:rsidR="00B412C5" w:rsidRPr="000E7480" w:rsidRDefault="00B412C5" w:rsidP="00DB3E41">
            <w:pPr>
              <w:spacing w:line="240" w:lineRule="auto"/>
              <w:jc w:val="center"/>
              <w:rPr>
                <w:color w:val="000000"/>
                <w:sz w:val="22"/>
                <w:szCs w:val="22"/>
                <w:lang w:val="en-IN" w:eastAsia="en-IN"/>
              </w:rPr>
            </w:pPr>
          </w:p>
        </w:tc>
        <w:tc>
          <w:tcPr>
            <w:tcW w:w="482" w:type="pct"/>
            <w:tcBorders>
              <w:top w:val="nil"/>
              <w:left w:val="nil"/>
              <w:bottom w:val="single" w:sz="4" w:space="0" w:color="auto"/>
              <w:right w:val="single" w:sz="4" w:space="0" w:color="auto"/>
            </w:tcBorders>
            <w:shd w:val="clear" w:color="auto" w:fill="auto"/>
            <w:noWrap/>
            <w:vAlign w:val="center"/>
            <w:hideMark/>
          </w:tcPr>
          <w:p w:rsidR="00B412C5" w:rsidRPr="000E7480" w:rsidRDefault="00B412C5" w:rsidP="00DB3E41">
            <w:pPr>
              <w:spacing w:line="240" w:lineRule="auto"/>
              <w:jc w:val="center"/>
              <w:rPr>
                <w:color w:val="000000"/>
                <w:sz w:val="22"/>
                <w:szCs w:val="22"/>
                <w:lang w:val="en-IN" w:eastAsia="en-IN"/>
              </w:rPr>
            </w:pPr>
          </w:p>
        </w:tc>
      </w:tr>
      <w:tr w:rsidR="000E7480" w:rsidRPr="00B412C5" w:rsidTr="000E7480">
        <w:trPr>
          <w:trHeight w:val="20"/>
        </w:trPr>
        <w:tc>
          <w:tcPr>
            <w:tcW w:w="326" w:type="pct"/>
            <w:tcBorders>
              <w:top w:val="nil"/>
              <w:left w:val="single" w:sz="8" w:space="0" w:color="auto"/>
              <w:bottom w:val="single" w:sz="4" w:space="0" w:color="auto"/>
              <w:right w:val="single" w:sz="4" w:space="0" w:color="auto"/>
            </w:tcBorders>
            <w:shd w:val="clear" w:color="auto" w:fill="auto"/>
            <w:noWrap/>
            <w:vAlign w:val="bottom"/>
            <w:hideMark/>
          </w:tcPr>
          <w:p w:rsidR="000E7480" w:rsidRPr="00B412C5" w:rsidRDefault="000E7480" w:rsidP="000E7480">
            <w:pPr>
              <w:spacing w:line="240" w:lineRule="auto"/>
              <w:jc w:val="center"/>
              <w:rPr>
                <w:color w:val="000000"/>
                <w:sz w:val="22"/>
                <w:szCs w:val="22"/>
                <w:lang w:val="en-IN" w:eastAsia="en-IN"/>
              </w:rPr>
            </w:pPr>
            <w:r w:rsidRPr="00B412C5">
              <w:rPr>
                <w:color w:val="000000"/>
                <w:sz w:val="22"/>
                <w:szCs w:val="22"/>
                <w:lang w:val="en-IN" w:eastAsia="en-IN"/>
              </w:rPr>
              <w:t>3</w:t>
            </w:r>
          </w:p>
        </w:tc>
        <w:tc>
          <w:tcPr>
            <w:tcW w:w="1867" w:type="pct"/>
            <w:tcBorders>
              <w:top w:val="nil"/>
              <w:left w:val="nil"/>
              <w:bottom w:val="single" w:sz="4" w:space="0" w:color="auto"/>
              <w:right w:val="single" w:sz="4" w:space="0" w:color="auto"/>
            </w:tcBorders>
            <w:shd w:val="clear" w:color="auto" w:fill="auto"/>
            <w:vAlign w:val="center"/>
            <w:hideMark/>
          </w:tcPr>
          <w:p w:rsidR="000E7480" w:rsidRPr="00B412C5" w:rsidRDefault="000E7480" w:rsidP="000E7480">
            <w:pPr>
              <w:spacing w:line="240" w:lineRule="auto"/>
              <w:jc w:val="left"/>
              <w:rPr>
                <w:color w:val="000000"/>
                <w:sz w:val="22"/>
                <w:szCs w:val="22"/>
                <w:lang w:val="en-IN" w:eastAsia="en-IN"/>
              </w:rPr>
            </w:pPr>
            <w:r w:rsidRPr="00B412C5">
              <w:rPr>
                <w:color w:val="000000"/>
                <w:sz w:val="22"/>
                <w:szCs w:val="22"/>
                <w:lang w:val="en-IN" w:eastAsia="en-IN"/>
              </w:rPr>
              <w:t>Total number of employees (1+2)</w:t>
            </w:r>
          </w:p>
        </w:tc>
        <w:tc>
          <w:tcPr>
            <w:tcW w:w="465" w:type="pct"/>
            <w:tcBorders>
              <w:top w:val="nil"/>
              <w:left w:val="nil"/>
              <w:bottom w:val="single" w:sz="4" w:space="0" w:color="auto"/>
              <w:right w:val="single" w:sz="4" w:space="0" w:color="auto"/>
            </w:tcBorders>
            <w:shd w:val="clear" w:color="auto" w:fill="auto"/>
            <w:noWrap/>
            <w:vAlign w:val="center"/>
            <w:hideMark/>
          </w:tcPr>
          <w:p w:rsidR="000E7480" w:rsidRPr="000E7480" w:rsidRDefault="000E7480" w:rsidP="000E7480">
            <w:pPr>
              <w:spacing w:line="240" w:lineRule="auto"/>
              <w:jc w:val="center"/>
              <w:rPr>
                <w:color w:val="000000"/>
                <w:sz w:val="22"/>
                <w:szCs w:val="22"/>
                <w:lang w:val="en-IN" w:eastAsia="en-IN"/>
              </w:rPr>
            </w:pPr>
            <w:r w:rsidRPr="000E7480">
              <w:rPr>
                <w:color w:val="000000"/>
                <w:sz w:val="22"/>
                <w:szCs w:val="22"/>
                <w:lang w:val="en-IN" w:eastAsia="en-IN"/>
              </w:rPr>
              <w:t>2179</w:t>
            </w:r>
          </w:p>
        </w:tc>
        <w:tc>
          <w:tcPr>
            <w:tcW w:w="481" w:type="pct"/>
            <w:tcBorders>
              <w:top w:val="nil"/>
              <w:left w:val="nil"/>
              <w:bottom w:val="single" w:sz="4" w:space="0" w:color="auto"/>
              <w:right w:val="single" w:sz="4" w:space="0" w:color="auto"/>
            </w:tcBorders>
            <w:shd w:val="clear" w:color="auto" w:fill="auto"/>
            <w:noWrap/>
            <w:vAlign w:val="center"/>
            <w:hideMark/>
          </w:tcPr>
          <w:p w:rsidR="000E7480" w:rsidRPr="000E7480" w:rsidRDefault="000E7480" w:rsidP="000E7480">
            <w:pPr>
              <w:spacing w:line="240" w:lineRule="auto"/>
              <w:jc w:val="center"/>
              <w:rPr>
                <w:color w:val="000000"/>
                <w:sz w:val="22"/>
                <w:szCs w:val="22"/>
                <w:lang w:val="en-IN" w:eastAsia="en-IN"/>
              </w:rPr>
            </w:pPr>
            <w:r w:rsidRPr="000E7480">
              <w:rPr>
                <w:color w:val="000000"/>
                <w:sz w:val="22"/>
                <w:szCs w:val="22"/>
                <w:lang w:val="en-IN" w:eastAsia="en-IN"/>
              </w:rPr>
              <w:t>2265</w:t>
            </w:r>
          </w:p>
        </w:tc>
        <w:tc>
          <w:tcPr>
            <w:tcW w:w="415" w:type="pct"/>
            <w:tcBorders>
              <w:top w:val="nil"/>
              <w:left w:val="nil"/>
              <w:bottom w:val="single" w:sz="4" w:space="0" w:color="auto"/>
              <w:right w:val="single" w:sz="4" w:space="0" w:color="auto"/>
            </w:tcBorders>
            <w:shd w:val="clear" w:color="auto" w:fill="auto"/>
            <w:noWrap/>
            <w:vAlign w:val="center"/>
            <w:hideMark/>
          </w:tcPr>
          <w:p w:rsidR="000E7480" w:rsidRPr="000E7480" w:rsidRDefault="000E7480" w:rsidP="000E7480">
            <w:pPr>
              <w:spacing w:line="240" w:lineRule="auto"/>
              <w:jc w:val="center"/>
              <w:rPr>
                <w:color w:val="000000"/>
                <w:sz w:val="22"/>
                <w:szCs w:val="22"/>
                <w:lang w:val="en-IN" w:eastAsia="en-IN"/>
              </w:rPr>
            </w:pPr>
            <w:r w:rsidRPr="000E7480">
              <w:rPr>
                <w:color w:val="000000"/>
                <w:sz w:val="22"/>
                <w:szCs w:val="22"/>
                <w:lang w:val="en-IN" w:eastAsia="en-IN"/>
              </w:rPr>
              <w:t>2233</w:t>
            </w:r>
          </w:p>
        </w:tc>
        <w:tc>
          <w:tcPr>
            <w:tcW w:w="481" w:type="pct"/>
            <w:tcBorders>
              <w:top w:val="nil"/>
              <w:left w:val="nil"/>
              <w:bottom w:val="single" w:sz="4" w:space="0" w:color="auto"/>
              <w:right w:val="single" w:sz="4" w:space="0" w:color="auto"/>
            </w:tcBorders>
            <w:shd w:val="clear" w:color="auto" w:fill="auto"/>
            <w:noWrap/>
            <w:vAlign w:val="center"/>
            <w:hideMark/>
          </w:tcPr>
          <w:p w:rsidR="000E7480" w:rsidRPr="000E7480" w:rsidRDefault="000E7480" w:rsidP="000E7480">
            <w:pPr>
              <w:spacing w:line="240" w:lineRule="auto"/>
              <w:jc w:val="center"/>
              <w:rPr>
                <w:color w:val="000000"/>
                <w:sz w:val="22"/>
                <w:szCs w:val="22"/>
                <w:lang w:val="en-IN" w:eastAsia="en-IN"/>
              </w:rPr>
            </w:pPr>
            <w:r w:rsidRPr="000E7480">
              <w:rPr>
                <w:color w:val="000000"/>
                <w:sz w:val="22"/>
                <w:szCs w:val="22"/>
                <w:lang w:val="en-IN" w:eastAsia="en-IN"/>
              </w:rPr>
              <w:t>2203</w:t>
            </w:r>
          </w:p>
        </w:tc>
        <w:tc>
          <w:tcPr>
            <w:tcW w:w="482" w:type="pct"/>
            <w:tcBorders>
              <w:top w:val="nil"/>
              <w:left w:val="nil"/>
              <w:bottom w:val="single" w:sz="4" w:space="0" w:color="auto"/>
              <w:right w:val="single" w:sz="4" w:space="0" w:color="auto"/>
            </w:tcBorders>
            <w:shd w:val="clear" w:color="auto" w:fill="auto"/>
            <w:noWrap/>
            <w:vAlign w:val="center"/>
            <w:hideMark/>
          </w:tcPr>
          <w:p w:rsidR="000E7480" w:rsidRPr="000E7480" w:rsidRDefault="000E7480" w:rsidP="000E7480">
            <w:pPr>
              <w:spacing w:line="240" w:lineRule="auto"/>
              <w:jc w:val="center"/>
              <w:rPr>
                <w:color w:val="000000"/>
                <w:sz w:val="22"/>
                <w:szCs w:val="22"/>
                <w:lang w:val="en-IN" w:eastAsia="en-IN"/>
              </w:rPr>
            </w:pPr>
            <w:r w:rsidRPr="000E7480">
              <w:rPr>
                <w:color w:val="000000"/>
                <w:sz w:val="22"/>
                <w:szCs w:val="22"/>
                <w:lang w:val="en-IN" w:eastAsia="en-IN"/>
              </w:rPr>
              <w:t>237</w:t>
            </w:r>
          </w:p>
        </w:tc>
        <w:tc>
          <w:tcPr>
            <w:tcW w:w="482" w:type="pct"/>
            <w:tcBorders>
              <w:top w:val="nil"/>
              <w:left w:val="nil"/>
              <w:bottom w:val="single" w:sz="4" w:space="0" w:color="auto"/>
              <w:right w:val="single" w:sz="4" w:space="0" w:color="auto"/>
            </w:tcBorders>
            <w:shd w:val="clear" w:color="auto" w:fill="auto"/>
            <w:noWrap/>
            <w:vAlign w:val="center"/>
            <w:hideMark/>
          </w:tcPr>
          <w:p w:rsidR="000E7480" w:rsidRPr="000E7480" w:rsidRDefault="000E7480" w:rsidP="000E7480">
            <w:pPr>
              <w:spacing w:line="240" w:lineRule="auto"/>
              <w:jc w:val="center"/>
              <w:rPr>
                <w:color w:val="000000"/>
                <w:sz w:val="22"/>
                <w:szCs w:val="22"/>
                <w:lang w:val="en-IN" w:eastAsia="en-IN"/>
              </w:rPr>
            </w:pPr>
            <w:r w:rsidRPr="000E7480">
              <w:rPr>
                <w:color w:val="000000"/>
                <w:sz w:val="22"/>
                <w:szCs w:val="22"/>
                <w:lang w:val="en-IN" w:eastAsia="en-IN"/>
              </w:rPr>
              <w:t>2242</w:t>
            </w:r>
          </w:p>
        </w:tc>
      </w:tr>
      <w:tr w:rsidR="000E7480" w:rsidRPr="00B412C5" w:rsidTr="000E7480">
        <w:trPr>
          <w:trHeight w:val="20"/>
        </w:trPr>
        <w:tc>
          <w:tcPr>
            <w:tcW w:w="326" w:type="pct"/>
            <w:tcBorders>
              <w:top w:val="nil"/>
              <w:left w:val="single" w:sz="8" w:space="0" w:color="auto"/>
              <w:bottom w:val="single" w:sz="4" w:space="0" w:color="auto"/>
              <w:right w:val="single" w:sz="4" w:space="0" w:color="auto"/>
            </w:tcBorders>
            <w:shd w:val="clear" w:color="auto" w:fill="auto"/>
            <w:noWrap/>
            <w:vAlign w:val="bottom"/>
            <w:hideMark/>
          </w:tcPr>
          <w:p w:rsidR="000E7480" w:rsidRPr="00B412C5" w:rsidRDefault="000E7480" w:rsidP="000E7480">
            <w:pPr>
              <w:spacing w:line="240" w:lineRule="auto"/>
              <w:jc w:val="center"/>
              <w:rPr>
                <w:color w:val="000000"/>
                <w:sz w:val="22"/>
                <w:szCs w:val="22"/>
                <w:lang w:val="en-IN" w:eastAsia="en-IN"/>
              </w:rPr>
            </w:pPr>
            <w:r w:rsidRPr="00B412C5">
              <w:rPr>
                <w:color w:val="000000"/>
                <w:sz w:val="22"/>
                <w:szCs w:val="22"/>
                <w:lang w:val="en-IN" w:eastAsia="en-IN"/>
              </w:rPr>
              <w:t>4</w:t>
            </w:r>
          </w:p>
        </w:tc>
        <w:tc>
          <w:tcPr>
            <w:tcW w:w="1867" w:type="pct"/>
            <w:tcBorders>
              <w:top w:val="nil"/>
              <w:left w:val="nil"/>
              <w:bottom w:val="single" w:sz="4" w:space="0" w:color="auto"/>
              <w:right w:val="single" w:sz="4" w:space="0" w:color="auto"/>
            </w:tcBorders>
            <w:shd w:val="clear" w:color="auto" w:fill="auto"/>
            <w:vAlign w:val="center"/>
            <w:hideMark/>
          </w:tcPr>
          <w:p w:rsidR="000E7480" w:rsidRPr="00B412C5" w:rsidRDefault="000E7480" w:rsidP="000E7480">
            <w:pPr>
              <w:spacing w:line="240" w:lineRule="auto"/>
              <w:jc w:val="left"/>
              <w:rPr>
                <w:color w:val="000000"/>
                <w:sz w:val="22"/>
                <w:szCs w:val="22"/>
                <w:lang w:val="en-IN" w:eastAsia="en-IN"/>
              </w:rPr>
            </w:pPr>
            <w:r w:rsidRPr="00B412C5">
              <w:rPr>
                <w:color w:val="000000"/>
                <w:sz w:val="22"/>
                <w:szCs w:val="22"/>
                <w:lang w:val="en-IN" w:eastAsia="en-IN"/>
              </w:rPr>
              <w:t>Number of employees retired/ retiring during the year</w:t>
            </w:r>
          </w:p>
        </w:tc>
        <w:tc>
          <w:tcPr>
            <w:tcW w:w="465" w:type="pct"/>
            <w:tcBorders>
              <w:top w:val="nil"/>
              <w:left w:val="nil"/>
              <w:bottom w:val="single" w:sz="4" w:space="0" w:color="auto"/>
              <w:right w:val="single" w:sz="4" w:space="0" w:color="auto"/>
            </w:tcBorders>
            <w:shd w:val="clear" w:color="auto" w:fill="auto"/>
            <w:noWrap/>
            <w:vAlign w:val="center"/>
            <w:hideMark/>
          </w:tcPr>
          <w:p w:rsidR="000E7480" w:rsidRPr="000E7480" w:rsidRDefault="000E7480" w:rsidP="000E7480">
            <w:pPr>
              <w:spacing w:line="240" w:lineRule="auto"/>
              <w:jc w:val="center"/>
              <w:rPr>
                <w:color w:val="000000"/>
                <w:sz w:val="22"/>
                <w:szCs w:val="22"/>
                <w:lang w:val="en-IN" w:eastAsia="en-IN"/>
              </w:rPr>
            </w:pPr>
            <w:r w:rsidRPr="000E7480">
              <w:rPr>
                <w:color w:val="000000"/>
                <w:sz w:val="22"/>
                <w:szCs w:val="22"/>
                <w:lang w:val="en-IN" w:eastAsia="en-IN"/>
              </w:rPr>
              <w:t>53</w:t>
            </w:r>
          </w:p>
        </w:tc>
        <w:tc>
          <w:tcPr>
            <w:tcW w:w="481" w:type="pct"/>
            <w:tcBorders>
              <w:top w:val="nil"/>
              <w:left w:val="nil"/>
              <w:bottom w:val="single" w:sz="4" w:space="0" w:color="auto"/>
              <w:right w:val="single" w:sz="4" w:space="0" w:color="auto"/>
            </w:tcBorders>
            <w:shd w:val="clear" w:color="auto" w:fill="auto"/>
            <w:noWrap/>
            <w:vAlign w:val="center"/>
            <w:hideMark/>
          </w:tcPr>
          <w:p w:rsidR="000E7480" w:rsidRPr="000E7480" w:rsidRDefault="000E7480" w:rsidP="000E7480">
            <w:pPr>
              <w:spacing w:line="240" w:lineRule="auto"/>
              <w:jc w:val="center"/>
              <w:rPr>
                <w:color w:val="000000"/>
                <w:sz w:val="22"/>
                <w:szCs w:val="22"/>
                <w:lang w:val="en-IN" w:eastAsia="en-IN"/>
              </w:rPr>
            </w:pPr>
            <w:r w:rsidRPr="000E7480">
              <w:rPr>
                <w:color w:val="000000"/>
                <w:sz w:val="22"/>
                <w:szCs w:val="22"/>
                <w:lang w:val="en-IN" w:eastAsia="en-IN"/>
              </w:rPr>
              <w:t>62</w:t>
            </w:r>
          </w:p>
        </w:tc>
        <w:tc>
          <w:tcPr>
            <w:tcW w:w="415" w:type="pct"/>
            <w:tcBorders>
              <w:top w:val="nil"/>
              <w:left w:val="nil"/>
              <w:bottom w:val="single" w:sz="4" w:space="0" w:color="auto"/>
              <w:right w:val="single" w:sz="4" w:space="0" w:color="auto"/>
            </w:tcBorders>
            <w:shd w:val="clear" w:color="auto" w:fill="auto"/>
            <w:noWrap/>
            <w:vAlign w:val="center"/>
            <w:hideMark/>
          </w:tcPr>
          <w:p w:rsidR="000E7480" w:rsidRPr="000E7480" w:rsidRDefault="000E7480" w:rsidP="000E7480">
            <w:pPr>
              <w:spacing w:line="240" w:lineRule="auto"/>
              <w:jc w:val="center"/>
              <w:rPr>
                <w:color w:val="000000"/>
                <w:sz w:val="22"/>
                <w:szCs w:val="22"/>
                <w:lang w:val="en-IN" w:eastAsia="en-IN"/>
              </w:rPr>
            </w:pPr>
            <w:r w:rsidRPr="000E7480">
              <w:rPr>
                <w:color w:val="000000"/>
                <w:sz w:val="22"/>
                <w:szCs w:val="22"/>
                <w:lang w:val="en-IN" w:eastAsia="en-IN"/>
              </w:rPr>
              <w:t>110</w:t>
            </w:r>
          </w:p>
        </w:tc>
        <w:tc>
          <w:tcPr>
            <w:tcW w:w="481" w:type="pct"/>
            <w:tcBorders>
              <w:top w:val="nil"/>
              <w:left w:val="nil"/>
              <w:bottom w:val="single" w:sz="4" w:space="0" w:color="auto"/>
              <w:right w:val="single" w:sz="4" w:space="0" w:color="auto"/>
            </w:tcBorders>
            <w:shd w:val="clear" w:color="auto" w:fill="auto"/>
            <w:noWrap/>
            <w:vAlign w:val="center"/>
            <w:hideMark/>
          </w:tcPr>
          <w:p w:rsidR="000E7480" w:rsidRPr="000E7480" w:rsidRDefault="000E7480" w:rsidP="000E7480">
            <w:pPr>
              <w:spacing w:line="240" w:lineRule="auto"/>
              <w:jc w:val="center"/>
              <w:rPr>
                <w:color w:val="000000"/>
                <w:sz w:val="22"/>
                <w:szCs w:val="22"/>
                <w:lang w:val="en-IN" w:eastAsia="en-IN"/>
              </w:rPr>
            </w:pPr>
            <w:r w:rsidRPr="000E7480">
              <w:rPr>
                <w:color w:val="000000"/>
                <w:sz w:val="22"/>
                <w:szCs w:val="22"/>
                <w:lang w:val="en-IN" w:eastAsia="en-IN"/>
              </w:rPr>
              <w:t>106</w:t>
            </w:r>
          </w:p>
        </w:tc>
        <w:tc>
          <w:tcPr>
            <w:tcW w:w="482" w:type="pct"/>
            <w:tcBorders>
              <w:top w:val="nil"/>
              <w:left w:val="nil"/>
              <w:bottom w:val="single" w:sz="4" w:space="0" w:color="auto"/>
              <w:right w:val="single" w:sz="4" w:space="0" w:color="auto"/>
            </w:tcBorders>
            <w:shd w:val="clear" w:color="auto" w:fill="auto"/>
            <w:noWrap/>
            <w:vAlign w:val="center"/>
            <w:hideMark/>
          </w:tcPr>
          <w:p w:rsidR="000E7480" w:rsidRPr="000E7480" w:rsidRDefault="000E7480" w:rsidP="000E7480">
            <w:pPr>
              <w:spacing w:line="240" w:lineRule="auto"/>
              <w:jc w:val="center"/>
              <w:rPr>
                <w:color w:val="000000"/>
                <w:sz w:val="22"/>
                <w:szCs w:val="22"/>
                <w:lang w:val="en-IN" w:eastAsia="en-IN"/>
              </w:rPr>
            </w:pPr>
            <w:r w:rsidRPr="000E7480">
              <w:rPr>
                <w:color w:val="000000"/>
                <w:sz w:val="22"/>
                <w:szCs w:val="22"/>
                <w:lang w:val="en-IN" w:eastAsia="en-IN"/>
              </w:rPr>
              <w:t>95</w:t>
            </w:r>
          </w:p>
        </w:tc>
        <w:tc>
          <w:tcPr>
            <w:tcW w:w="482" w:type="pct"/>
            <w:tcBorders>
              <w:top w:val="nil"/>
              <w:left w:val="nil"/>
              <w:bottom w:val="single" w:sz="4" w:space="0" w:color="auto"/>
              <w:right w:val="single" w:sz="4" w:space="0" w:color="auto"/>
            </w:tcBorders>
            <w:shd w:val="clear" w:color="auto" w:fill="auto"/>
            <w:noWrap/>
            <w:vAlign w:val="center"/>
            <w:hideMark/>
          </w:tcPr>
          <w:p w:rsidR="000E7480" w:rsidRPr="000E7480" w:rsidRDefault="000E7480" w:rsidP="000E7480">
            <w:pPr>
              <w:spacing w:line="240" w:lineRule="auto"/>
              <w:jc w:val="center"/>
              <w:rPr>
                <w:color w:val="000000"/>
                <w:sz w:val="22"/>
                <w:szCs w:val="22"/>
                <w:lang w:val="en-IN" w:eastAsia="en-IN"/>
              </w:rPr>
            </w:pPr>
            <w:r w:rsidRPr="000E7480">
              <w:rPr>
                <w:color w:val="000000"/>
                <w:sz w:val="22"/>
                <w:szCs w:val="22"/>
                <w:lang w:val="en-IN" w:eastAsia="en-IN"/>
              </w:rPr>
              <w:t>93</w:t>
            </w:r>
          </w:p>
        </w:tc>
      </w:tr>
      <w:tr w:rsidR="000E7480" w:rsidRPr="00B412C5" w:rsidTr="000E7480">
        <w:trPr>
          <w:trHeight w:val="20"/>
        </w:trPr>
        <w:tc>
          <w:tcPr>
            <w:tcW w:w="326" w:type="pct"/>
            <w:tcBorders>
              <w:top w:val="nil"/>
              <w:left w:val="single" w:sz="8" w:space="0" w:color="auto"/>
              <w:bottom w:val="single" w:sz="4" w:space="0" w:color="auto"/>
              <w:right w:val="single" w:sz="4" w:space="0" w:color="auto"/>
            </w:tcBorders>
            <w:shd w:val="clear" w:color="auto" w:fill="auto"/>
            <w:noWrap/>
            <w:vAlign w:val="bottom"/>
            <w:hideMark/>
          </w:tcPr>
          <w:p w:rsidR="000E7480" w:rsidRPr="00B412C5" w:rsidRDefault="000E7480" w:rsidP="000E7480">
            <w:pPr>
              <w:spacing w:line="240" w:lineRule="auto"/>
              <w:jc w:val="center"/>
              <w:rPr>
                <w:color w:val="000000"/>
                <w:sz w:val="22"/>
                <w:szCs w:val="22"/>
                <w:lang w:val="en-IN" w:eastAsia="en-IN"/>
              </w:rPr>
            </w:pPr>
            <w:r w:rsidRPr="00B412C5">
              <w:rPr>
                <w:color w:val="000000"/>
                <w:sz w:val="22"/>
                <w:szCs w:val="22"/>
                <w:lang w:val="en-IN" w:eastAsia="en-IN"/>
              </w:rPr>
              <w:t>5</w:t>
            </w:r>
          </w:p>
        </w:tc>
        <w:tc>
          <w:tcPr>
            <w:tcW w:w="1867" w:type="pct"/>
            <w:tcBorders>
              <w:top w:val="nil"/>
              <w:left w:val="nil"/>
              <w:bottom w:val="single" w:sz="4" w:space="0" w:color="auto"/>
              <w:right w:val="single" w:sz="4" w:space="0" w:color="auto"/>
            </w:tcBorders>
            <w:shd w:val="clear" w:color="auto" w:fill="auto"/>
            <w:vAlign w:val="center"/>
            <w:hideMark/>
          </w:tcPr>
          <w:p w:rsidR="000E7480" w:rsidRPr="00B412C5" w:rsidRDefault="000E7480" w:rsidP="000E7480">
            <w:pPr>
              <w:spacing w:line="240" w:lineRule="auto"/>
              <w:jc w:val="left"/>
              <w:rPr>
                <w:color w:val="000000"/>
                <w:sz w:val="22"/>
                <w:szCs w:val="22"/>
                <w:lang w:val="en-IN" w:eastAsia="en-IN"/>
              </w:rPr>
            </w:pPr>
            <w:r w:rsidRPr="00B412C5">
              <w:rPr>
                <w:color w:val="000000"/>
                <w:sz w:val="22"/>
                <w:szCs w:val="22"/>
                <w:lang w:val="en-IN" w:eastAsia="en-IN"/>
              </w:rPr>
              <w:t>Net transfers [ In / (Out)]</w:t>
            </w:r>
          </w:p>
        </w:tc>
        <w:tc>
          <w:tcPr>
            <w:tcW w:w="465" w:type="pct"/>
            <w:tcBorders>
              <w:top w:val="nil"/>
              <w:left w:val="nil"/>
              <w:bottom w:val="single" w:sz="4" w:space="0" w:color="auto"/>
              <w:right w:val="single" w:sz="4" w:space="0" w:color="auto"/>
            </w:tcBorders>
            <w:shd w:val="clear" w:color="auto" w:fill="auto"/>
            <w:noWrap/>
            <w:vAlign w:val="center"/>
            <w:hideMark/>
          </w:tcPr>
          <w:p w:rsidR="000E7480" w:rsidRPr="000E7480" w:rsidRDefault="000E7480" w:rsidP="000E7480">
            <w:pPr>
              <w:spacing w:line="240" w:lineRule="auto"/>
              <w:jc w:val="center"/>
              <w:rPr>
                <w:color w:val="000000"/>
                <w:sz w:val="22"/>
                <w:szCs w:val="22"/>
                <w:lang w:val="en-IN" w:eastAsia="en-IN"/>
              </w:rPr>
            </w:pPr>
          </w:p>
        </w:tc>
        <w:tc>
          <w:tcPr>
            <w:tcW w:w="481" w:type="pct"/>
            <w:tcBorders>
              <w:top w:val="nil"/>
              <w:left w:val="nil"/>
              <w:bottom w:val="single" w:sz="4" w:space="0" w:color="auto"/>
              <w:right w:val="single" w:sz="4" w:space="0" w:color="auto"/>
            </w:tcBorders>
            <w:shd w:val="clear" w:color="auto" w:fill="auto"/>
            <w:noWrap/>
            <w:vAlign w:val="center"/>
            <w:hideMark/>
          </w:tcPr>
          <w:p w:rsidR="000E7480" w:rsidRPr="000E7480" w:rsidRDefault="000E7480" w:rsidP="000E7480">
            <w:pPr>
              <w:spacing w:line="240" w:lineRule="auto"/>
              <w:jc w:val="center"/>
              <w:rPr>
                <w:color w:val="000000"/>
                <w:sz w:val="22"/>
                <w:szCs w:val="22"/>
                <w:lang w:val="en-IN" w:eastAsia="en-IN"/>
              </w:rPr>
            </w:pPr>
          </w:p>
        </w:tc>
        <w:tc>
          <w:tcPr>
            <w:tcW w:w="415" w:type="pct"/>
            <w:tcBorders>
              <w:top w:val="nil"/>
              <w:left w:val="nil"/>
              <w:bottom w:val="single" w:sz="4" w:space="0" w:color="auto"/>
              <w:right w:val="single" w:sz="4" w:space="0" w:color="auto"/>
            </w:tcBorders>
            <w:shd w:val="clear" w:color="auto" w:fill="auto"/>
            <w:noWrap/>
            <w:vAlign w:val="center"/>
            <w:hideMark/>
          </w:tcPr>
          <w:p w:rsidR="000E7480" w:rsidRPr="000E7480" w:rsidRDefault="000E7480" w:rsidP="000E7480">
            <w:pPr>
              <w:spacing w:line="240" w:lineRule="auto"/>
              <w:jc w:val="center"/>
              <w:rPr>
                <w:color w:val="000000"/>
                <w:sz w:val="22"/>
                <w:szCs w:val="22"/>
                <w:lang w:val="en-IN" w:eastAsia="en-IN"/>
              </w:rPr>
            </w:pPr>
          </w:p>
        </w:tc>
        <w:tc>
          <w:tcPr>
            <w:tcW w:w="481" w:type="pct"/>
            <w:tcBorders>
              <w:top w:val="nil"/>
              <w:left w:val="nil"/>
              <w:bottom w:val="single" w:sz="4" w:space="0" w:color="auto"/>
              <w:right w:val="single" w:sz="4" w:space="0" w:color="auto"/>
            </w:tcBorders>
            <w:shd w:val="clear" w:color="auto" w:fill="auto"/>
            <w:noWrap/>
            <w:vAlign w:val="center"/>
            <w:hideMark/>
          </w:tcPr>
          <w:p w:rsidR="000E7480" w:rsidRPr="000E7480" w:rsidRDefault="000E7480" w:rsidP="000E7480">
            <w:pPr>
              <w:spacing w:line="240" w:lineRule="auto"/>
              <w:jc w:val="center"/>
              <w:rPr>
                <w:color w:val="000000"/>
                <w:sz w:val="22"/>
                <w:szCs w:val="22"/>
                <w:lang w:val="en-IN" w:eastAsia="en-IN"/>
              </w:rPr>
            </w:pPr>
          </w:p>
        </w:tc>
        <w:tc>
          <w:tcPr>
            <w:tcW w:w="482" w:type="pct"/>
            <w:tcBorders>
              <w:top w:val="nil"/>
              <w:left w:val="nil"/>
              <w:bottom w:val="single" w:sz="4" w:space="0" w:color="auto"/>
              <w:right w:val="single" w:sz="4" w:space="0" w:color="auto"/>
            </w:tcBorders>
            <w:shd w:val="clear" w:color="auto" w:fill="auto"/>
            <w:noWrap/>
            <w:vAlign w:val="center"/>
            <w:hideMark/>
          </w:tcPr>
          <w:p w:rsidR="000E7480" w:rsidRPr="000E7480" w:rsidRDefault="000E7480" w:rsidP="000E7480">
            <w:pPr>
              <w:spacing w:line="240" w:lineRule="auto"/>
              <w:jc w:val="center"/>
              <w:rPr>
                <w:color w:val="000000"/>
                <w:sz w:val="22"/>
                <w:szCs w:val="22"/>
                <w:lang w:val="en-IN" w:eastAsia="en-IN"/>
              </w:rPr>
            </w:pPr>
          </w:p>
        </w:tc>
        <w:tc>
          <w:tcPr>
            <w:tcW w:w="482" w:type="pct"/>
            <w:tcBorders>
              <w:top w:val="nil"/>
              <w:left w:val="nil"/>
              <w:bottom w:val="single" w:sz="4" w:space="0" w:color="auto"/>
              <w:right w:val="single" w:sz="4" w:space="0" w:color="auto"/>
            </w:tcBorders>
            <w:shd w:val="clear" w:color="auto" w:fill="auto"/>
            <w:noWrap/>
            <w:vAlign w:val="center"/>
            <w:hideMark/>
          </w:tcPr>
          <w:p w:rsidR="000E7480" w:rsidRPr="000E7480" w:rsidRDefault="000E7480" w:rsidP="000E7480">
            <w:pPr>
              <w:spacing w:line="240" w:lineRule="auto"/>
              <w:jc w:val="center"/>
              <w:rPr>
                <w:color w:val="000000"/>
                <w:sz w:val="22"/>
                <w:szCs w:val="22"/>
                <w:lang w:val="en-IN" w:eastAsia="en-IN"/>
              </w:rPr>
            </w:pPr>
          </w:p>
        </w:tc>
      </w:tr>
      <w:tr w:rsidR="000E7480" w:rsidRPr="00B412C5" w:rsidTr="000E7480">
        <w:trPr>
          <w:trHeight w:val="20"/>
        </w:trPr>
        <w:tc>
          <w:tcPr>
            <w:tcW w:w="326" w:type="pct"/>
            <w:tcBorders>
              <w:top w:val="nil"/>
              <w:left w:val="single" w:sz="8" w:space="0" w:color="auto"/>
              <w:bottom w:val="single" w:sz="4" w:space="0" w:color="auto"/>
              <w:right w:val="single" w:sz="4" w:space="0" w:color="auto"/>
            </w:tcBorders>
            <w:shd w:val="clear" w:color="auto" w:fill="auto"/>
            <w:noWrap/>
            <w:vAlign w:val="bottom"/>
            <w:hideMark/>
          </w:tcPr>
          <w:p w:rsidR="000E7480" w:rsidRPr="00B412C5" w:rsidRDefault="000E7480" w:rsidP="000E7480">
            <w:pPr>
              <w:spacing w:line="240" w:lineRule="auto"/>
              <w:jc w:val="center"/>
              <w:rPr>
                <w:color w:val="000000"/>
                <w:sz w:val="22"/>
                <w:szCs w:val="22"/>
                <w:lang w:val="en-IN" w:eastAsia="en-IN"/>
              </w:rPr>
            </w:pPr>
            <w:r w:rsidRPr="00B412C5">
              <w:rPr>
                <w:color w:val="000000"/>
                <w:sz w:val="22"/>
                <w:szCs w:val="22"/>
                <w:lang w:val="en-IN" w:eastAsia="en-IN"/>
              </w:rPr>
              <w:t>6</w:t>
            </w:r>
          </w:p>
        </w:tc>
        <w:tc>
          <w:tcPr>
            <w:tcW w:w="1867" w:type="pct"/>
            <w:tcBorders>
              <w:top w:val="nil"/>
              <w:left w:val="nil"/>
              <w:bottom w:val="single" w:sz="4" w:space="0" w:color="auto"/>
              <w:right w:val="single" w:sz="4" w:space="0" w:color="auto"/>
            </w:tcBorders>
            <w:shd w:val="clear" w:color="auto" w:fill="auto"/>
            <w:vAlign w:val="center"/>
            <w:hideMark/>
          </w:tcPr>
          <w:p w:rsidR="000E7480" w:rsidRPr="00B412C5" w:rsidRDefault="000E7480" w:rsidP="000E7480">
            <w:pPr>
              <w:spacing w:line="240" w:lineRule="auto"/>
              <w:jc w:val="left"/>
              <w:rPr>
                <w:color w:val="000000"/>
                <w:sz w:val="22"/>
                <w:szCs w:val="22"/>
                <w:lang w:val="en-IN" w:eastAsia="en-IN"/>
              </w:rPr>
            </w:pPr>
            <w:r w:rsidRPr="00B412C5">
              <w:rPr>
                <w:color w:val="000000"/>
                <w:sz w:val="22"/>
                <w:szCs w:val="22"/>
                <w:lang w:val="en-IN" w:eastAsia="en-IN"/>
              </w:rPr>
              <w:t>Recruitment</w:t>
            </w:r>
          </w:p>
        </w:tc>
        <w:tc>
          <w:tcPr>
            <w:tcW w:w="465" w:type="pct"/>
            <w:tcBorders>
              <w:top w:val="nil"/>
              <w:left w:val="nil"/>
              <w:bottom w:val="single" w:sz="4" w:space="0" w:color="auto"/>
              <w:right w:val="single" w:sz="4" w:space="0" w:color="auto"/>
            </w:tcBorders>
            <w:shd w:val="clear" w:color="auto" w:fill="auto"/>
            <w:noWrap/>
            <w:vAlign w:val="center"/>
            <w:hideMark/>
          </w:tcPr>
          <w:p w:rsidR="000E7480" w:rsidRPr="000E7480" w:rsidRDefault="000E7480" w:rsidP="000E7480">
            <w:pPr>
              <w:spacing w:line="240" w:lineRule="auto"/>
              <w:jc w:val="center"/>
              <w:rPr>
                <w:color w:val="000000"/>
                <w:sz w:val="22"/>
                <w:szCs w:val="22"/>
                <w:lang w:val="en-IN" w:eastAsia="en-IN"/>
              </w:rPr>
            </w:pPr>
            <w:r w:rsidRPr="000E7480">
              <w:rPr>
                <w:color w:val="000000"/>
                <w:sz w:val="22"/>
                <w:szCs w:val="22"/>
                <w:lang w:val="en-IN" w:eastAsia="en-IN"/>
              </w:rPr>
              <w:t>139</w:t>
            </w:r>
          </w:p>
        </w:tc>
        <w:tc>
          <w:tcPr>
            <w:tcW w:w="481" w:type="pct"/>
            <w:tcBorders>
              <w:top w:val="nil"/>
              <w:left w:val="nil"/>
              <w:bottom w:val="single" w:sz="4" w:space="0" w:color="auto"/>
              <w:right w:val="single" w:sz="4" w:space="0" w:color="auto"/>
            </w:tcBorders>
            <w:shd w:val="clear" w:color="auto" w:fill="auto"/>
            <w:noWrap/>
            <w:vAlign w:val="center"/>
            <w:hideMark/>
          </w:tcPr>
          <w:p w:rsidR="000E7480" w:rsidRPr="000E7480" w:rsidRDefault="000E7480" w:rsidP="000E7480">
            <w:pPr>
              <w:spacing w:line="240" w:lineRule="auto"/>
              <w:jc w:val="center"/>
              <w:rPr>
                <w:color w:val="000000"/>
                <w:sz w:val="22"/>
                <w:szCs w:val="22"/>
                <w:lang w:val="en-IN" w:eastAsia="en-IN"/>
              </w:rPr>
            </w:pPr>
            <w:r w:rsidRPr="000E7480">
              <w:rPr>
                <w:color w:val="000000"/>
                <w:sz w:val="22"/>
                <w:szCs w:val="22"/>
                <w:lang w:val="en-IN" w:eastAsia="en-IN"/>
              </w:rPr>
              <w:t>30</w:t>
            </w:r>
          </w:p>
        </w:tc>
        <w:tc>
          <w:tcPr>
            <w:tcW w:w="415" w:type="pct"/>
            <w:tcBorders>
              <w:top w:val="nil"/>
              <w:left w:val="nil"/>
              <w:bottom w:val="single" w:sz="4" w:space="0" w:color="auto"/>
              <w:right w:val="single" w:sz="4" w:space="0" w:color="auto"/>
            </w:tcBorders>
            <w:shd w:val="clear" w:color="auto" w:fill="auto"/>
            <w:noWrap/>
            <w:vAlign w:val="center"/>
            <w:hideMark/>
          </w:tcPr>
          <w:p w:rsidR="000E7480" w:rsidRPr="000E7480" w:rsidRDefault="000E7480" w:rsidP="000E7480">
            <w:pPr>
              <w:spacing w:line="240" w:lineRule="auto"/>
              <w:jc w:val="center"/>
              <w:rPr>
                <w:color w:val="000000"/>
                <w:sz w:val="22"/>
                <w:szCs w:val="22"/>
                <w:lang w:val="en-IN" w:eastAsia="en-IN"/>
              </w:rPr>
            </w:pPr>
            <w:r w:rsidRPr="000E7480">
              <w:rPr>
                <w:color w:val="000000"/>
                <w:sz w:val="22"/>
                <w:szCs w:val="22"/>
                <w:lang w:val="en-IN" w:eastAsia="en-IN"/>
              </w:rPr>
              <w:t>80</w:t>
            </w:r>
          </w:p>
        </w:tc>
        <w:tc>
          <w:tcPr>
            <w:tcW w:w="481" w:type="pct"/>
            <w:tcBorders>
              <w:top w:val="nil"/>
              <w:left w:val="nil"/>
              <w:bottom w:val="single" w:sz="4" w:space="0" w:color="auto"/>
              <w:right w:val="single" w:sz="4" w:space="0" w:color="auto"/>
            </w:tcBorders>
            <w:shd w:val="clear" w:color="auto" w:fill="auto"/>
            <w:noWrap/>
            <w:vAlign w:val="center"/>
            <w:hideMark/>
          </w:tcPr>
          <w:p w:rsidR="000E7480" w:rsidRPr="000E7480" w:rsidRDefault="000E7480" w:rsidP="000E7480">
            <w:pPr>
              <w:spacing w:line="240" w:lineRule="auto"/>
              <w:jc w:val="center"/>
              <w:rPr>
                <w:color w:val="000000"/>
                <w:sz w:val="22"/>
                <w:szCs w:val="22"/>
                <w:lang w:val="en-IN" w:eastAsia="en-IN"/>
              </w:rPr>
            </w:pPr>
            <w:r w:rsidRPr="000E7480">
              <w:rPr>
                <w:color w:val="000000"/>
                <w:sz w:val="22"/>
                <w:szCs w:val="22"/>
                <w:lang w:val="en-IN" w:eastAsia="en-IN"/>
              </w:rPr>
              <w:t>40</w:t>
            </w:r>
          </w:p>
        </w:tc>
        <w:tc>
          <w:tcPr>
            <w:tcW w:w="482" w:type="pct"/>
            <w:tcBorders>
              <w:top w:val="nil"/>
              <w:left w:val="nil"/>
              <w:bottom w:val="single" w:sz="4" w:space="0" w:color="auto"/>
              <w:right w:val="single" w:sz="4" w:space="0" w:color="auto"/>
            </w:tcBorders>
            <w:shd w:val="clear" w:color="auto" w:fill="auto"/>
            <w:noWrap/>
            <w:vAlign w:val="center"/>
            <w:hideMark/>
          </w:tcPr>
          <w:p w:rsidR="000E7480" w:rsidRPr="000E7480" w:rsidRDefault="000E7480" w:rsidP="000E7480">
            <w:pPr>
              <w:spacing w:line="240" w:lineRule="auto"/>
              <w:jc w:val="center"/>
              <w:rPr>
                <w:color w:val="000000"/>
                <w:sz w:val="22"/>
                <w:szCs w:val="22"/>
                <w:lang w:val="en-IN" w:eastAsia="en-IN"/>
              </w:rPr>
            </w:pPr>
            <w:r w:rsidRPr="000E7480">
              <w:rPr>
                <w:color w:val="000000"/>
                <w:sz w:val="22"/>
                <w:szCs w:val="22"/>
                <w:lang w:val="en-IN" w:eastAsia="en-IN"/>
              </w:rPr>
              <w:t>200</w:t>
            </w:r>
          </w:p>
        </w:tc>
        <w:tc>
          <w:tcPr>
            <w:tcW w:w="482" w:type="pct"/>
            <w:tcBorders>
              <w:top w:val="nil"/>
              <w:left w:val="nil"/>
              <w:bottom w:val="single" w:sz="4" w:space="0" w:color="auto"/>
              <w:right w:val="single" w:sz="4" w:space="0" w:color="auto"/>
            </w:tcBorders>
            <w:shd w:val="clear" w:color="auto" w:fill="auto"/>
            <w:noWrap/>
            <w:vAlign w:val="center"/>
            <w:hideMark/>
          </w:tcPr>
          <w:p w:rsidR="000E7480" w:rsidRPr="000E7480" w:rsidRDefault="000E7480" w:rsidP="000E7480">
            <w:pPr>
              <w:spacing w:line="240" w:lineRule="auto"/>
              <w:jc w:val="center"/>
              <w:rPr>
                <w:color w:val="000000"/>
                <w:sz w:val="22"/>
                <w:szCs w:val="22"/>
                <w:lang w:val="en-IN" w:eastAsia="en-IN"/>
              </w:rPr>
            </w:pPr>
            <w:r w:rsidRPr="000E7480">
              <w:rPr>
                <w:color w:val="000000"/>
                <w:sz w:val="22"/>
                <w:szCs w:val="22"/>
                <w:lang w:val="en-IN" w:eastAsia="en-IN"/>
              </w:rPr>
              <w:t>150</w:t>
            </w:r>
          </w:p>
        </w:tc>
      </w:tr>
      <w:tr w:rsidR="000E7480" w:rsidRPr="00B412C5" w:rsidTr="000E7480">
        <w:trPr>
          <w:trHeight w:val="20"/>
        </w:trPr>
        <w:tc>
          <w:tcPr>
            <w:tcW w:w="326" w:type="pct"/>
            <w:tcBorders>
              <w:top w:val="nil"/>
              <w:left w:val="single" w:sz="8" w:space="0" w:color="auto"/>
              <w:bottom w:val="single" w:sz="8" w:space="0" w:color="auto"/>
              <w:right w:val="single" w:sz="4" w:space="0" w:color="auto"/>
            </w:tcBorders>
            <w:shd w:val="clear" w:color="auto" w:fill="auto"/>
            <w:noWrap/>
            <w:vAlign w:val="bottom"/>
            <w:hideMark/>
          </w:tcPr>
          <w:p w:rsidR="000E7480" w:rsidRPr="00B412C5" w:rsidRDefault="000E7480" w:rsidP="000E7480">
            <w:pPr>
              <w:spacing w:line="240" w:lineRule="auto"/>
              <w:jc w:val="center"/>
              <w:rPr>
                <w:color w:val="000000"/>
                <w:sz w:val="22"/>
                <w:szCs w:val="22"/>
                <w:lang w:val="en-IN" w:eastAsia="en-IN"/>
              </w:rPr>
            </w:pPr>
            <w:r w:rsidRPr="00B412C5">
              <w:rPr>
                <w:color w:val="000000"/>
                <w:sz w:val="22"/>
                <w:szCs w:val="22"/>
                <w:lang w:val="en-IN" w:eastAsia="en-IN"/>
              </w:rPr>
              <w:t>7</w:t>
            </w:r>
          </w:p>
        </w:tc>
        <w:tc>
          <w:tcPr>
            <w:tcW w:w="1867" w:type="pct"/>
            <w:tcBorders>
              <w:top w:val="nil"/>
              <w:left w:val="nil"/>
              <w:bottom w:val="single" w:sz="8" w:space="0" w:color="auto"/>
              <w:right w:val="single" w:sz="4" w:space="0" w:color="auto"/>
            </w:tcBorders>
            <w:shd w:val="clear" w:color="auto" w:fill="auto"/>
            <w:vAlign w:val="center"/>
            <w:hideMark/>
          </w:tcPr>
          <w:p w:rsidR="000E7480" w:rsidRPr="00B412C5" w:rsidRDefault="000E7480" w:rsidP="000E7480">
            <w:pPr>
              <w:spacing w:line="240" w:lineRule="auto"/>
              <w:jc w:val="left"/>
              <w:rPr>
                <w:color w:val="000000"/>
                <w:sz w:val="22"/>
                <w:szCs w:val="22"/>
                <w:lang w:val="en-IN" w:eastAsia="en-IN"/>
              </w:rPr>
            </w:pPr>
            <w:r w:rsidRPr="00B412C5">
              <w:rPr>
                <w:color w:val="000000"/>
                <w:sz w:val="22"/>
                <w:szCs w:val="22"/>
                <w:lang w:val="en-IN" w:eastAsia="en-IN"/>
              </w:rPr>
              <w:t>Number of employees at the end of the year (3-4+5+6)</w:t>
            </w:r>
          </w:p>
        </w:tc>
        <w:tc>
          <w:tcPr>
            <w:tcW w:w="465" w:type="pct"/>
            <w:tcBorders>
              <w:top w:val="nil"/>
              <w:left w:val="nil"/>
              <w:bottom w:val="single" w:sz="8" w:space="0" w:color="auto"/>
              <w:right w:val="single" w:sz="4" w:space="0" w:color="auto"/>
            </w:tcBorders>
            <w:shd w:val="clear" w:color="auto" w:fill="auto"/>
            <w:noWrap/>
            <w:vAlign w:val="center"/>
          </w:tcPr>
          <w:p w:rsidR="000E7480" w:rsidRPr="000E7480" w:rsidRDefault="000E7480" w:rsidP="000E7480">
            <w:pPr>
              <w:spacing w:line="240" w:lineRule="auto"/>
              <w:jc w:val="center"/>
              <w:rPr>
                <w:color w:val="000000"/>
                <w:sz w:val="22"/>
                <w:szCs w:val="22"/>
                <w:lang w:val="en-IN" w:eastAsia="en-IN"/>
              </w:rPr>
            </w:pPr>
            <w:r w:rsidRPr="000E7480">
              <w:rPr>
                <w:color w:val="000000"/>
                <w:sz w:val="22"/>
                <w:szCs w:val="22"/>
                <w:lang w:val="en-IN" w:eastAsia="en-IN"/>
              </w:rPr>
              <w:t>2265</w:t>
            </w:r>
          </w:p>
        </w:tc>
        <w:tc>
          <w:tcPr>
            <w:tcW w:w="481" w:type="pct"/>
            <w:tcBorders>
              <w:top w:val="nil"/>
              <w:left w:val="nil"/>
              <w:bottom w:val="single" w:sz="8" w:space="0" w:color="auto"/>
              <w:right w:val="single" w:sz="4" w:space="0" w:color="auto"/>
            </w:tcBorders>
            <w:shd w:val="clear" w:color="auto" w:fill="auto"/>
            <w:noWrap/>
            <w:vAlign w:val="center"/>
          </w:tcPr>
          <w:p w:rsidR="000E7480" w:rsidRPr="000E7480" w:rsidRDefault="000E7480" w:rsidP="000E7480">
            <w:pPr>
              <w:spacing w:line="240" w:lineRule="auto"/>
              <w:jc w:val="center"/>
              <w:rPr>
                <w:color w:val="000000"/>
                <w:sz w:val="22"/>
                <w:szCs w:val="22"/>
                <w:lang w:val="en-IN" w:eastAsia="en-IN"/>
              </w:rPr>
            </w:pPr>
            <w:r w:rsidRPr="000E7480">
              <w:rPr>
                <w:color w:val="000000"/>
                <w:sz w:val="22"/>
                <w:szCs w:val="22"/>
                <w:lang w:val="en-IN" w:eastAsia="en-IN"/>
              </w:rPr>
              <w:t>2233</w:t>
            </w:r>
          </w:p>
        </w:tc>
        <w:tc>
          <w:tcPr>
            <w:tcW w:w="415" w:type="pct"/>
            <w:tcBorders>
              <w:top w:val="nil"/>
              <w:left w:val="nil"/>
              <w:bottom w:val="single" w:sz="8" w:space="0" w:color="auto"/>
              <w:right w:val="single" w:sz="4" w:space="0" w:color="auto"/>
            </w:tcBorders>
            <w:shd w:val="clear" w:color="auto" w:fill="auto"/>
            <w:noWrap/>
            <w:vAlign w:val="center"/>
          </w:tcPr>
          <w:p w:rsidR="000E7480" w:rsidRPr="000E7480" w:rsidRDefault="000E7480" w:rsidP="000E7480">
            <w:pPr>
              <w:spacing w:line="240" w:lineRule="auto"/>
              <w:jc w:val="center"/>
              <w:rPr>
                <w:color w:val="000000"/>
                <w:sz w:val="22"/>
                <w:szCs w:val="22"/>
                <w:lang w:val="en-IN" w:eastAsia="en-IN"/>
              </w:rPr>
            </w:pPr>
            <w:r w:rsidRPr="000E7480">
              <w:rPr>
                <w:color w:val="000000"/>
                <w:sz w:val="22"/>
                <w:szCs w:val="22"/>
                <w:lang w:val="en-IN" w:eastAsia="en-IN"/>
              </w:rPr>
              <w:t>2203</w:t>
            </w:r>
          </w:p>
        </w:tc>
        <w:tc>
          <w:tcPr>
            <w:tcW w:w="481" w:type="pct"/>
            <w:tcBorders>
              <w:top w:val="nil"/>
              <w:left w:val="nil"/>
              <w:bottom w:val="single" w:sz="8" w:space="0" w:color="auto"/>
              <w:right w:val="single" w:sz="4" w:space="0" w:color="auto"/>
            </w:tcBorders>
            <w:shd w:val="clear" w:color="auto" w:fill="auto"/>
            <w:noWrap/>
            <w:vAlign w:val="center"/>
          </w:tcPr>
          <w:p w:rsidR="000E7480" w:rsidRPr="000E7480" w:rsidRDefault="000E7480" w:rsidP="000E7480">
            <w:pPr>
              <w:spacing w:line="240" w:lineRule="auto"/>
              <w:jc w:val="center"/>
              <w:rPr>
                <w:color w:val="000000"/>
                <w:sz w:val="22"/>
                <w:szCs w:val="22"/>
                <w:lang w:val="en-IN" w:eastAsia="en-IN"/>
              </w:rPr>
            </w:pPr>
            <w:r w:rsidRPr="000E7480">
              <w:rPr>
                <w:color w:val="000000"/>
                <w:sz w:val="22"/>
                <w:szCs w:val="22"/>
                <w:lang w:val="en-IN" w:eastAsia="en-IN"/>
              </w:rPr>
              <w:t>2137</w:t>
            </w:r>
          </w:p>
        </w:tc>
        <w:tc>
          <w:tcPr>
            <w:tcW w:w="482" w:type="pct"/>
            <w:tcBorders>
              <w:top w:val="nil"/>
              <w:left w:val="nil"/>
              <w:bottom w:val="single" w:sz="8" w:space="0" w:color="auto"/>
              <w:right w:val="single" w:sz="4" w:space="0" w:color="auto"/>
            </w:tcBorders>
            <w:shd w:val="clear" w:color="auto" w:fill="auto"/>
            <w:noWrap/>
            <w:vAlign w:val="center"/>
          </w:tcPr>
          <w:p w:rsidR="000E7480" w:rsidRPr="000E7480" w:rsidRDefault="000E7480" w:rsidP="000E7480">
            <w:pPr>
              <w:spacing w:line="240" w:lineRule="auto"/>
              <w:jc w:val="center"/>
              <w:rPr>
                <w:color w:val="000000"/>
                <w:sz w:val="22"/>
                <w:szCs w:val="22"/>
                <w:lang w:val="en-IN" w:eastAsia="en-IN"/>
              </w:rPr>
            </w:pPr>
            <w:r w:rsidRPr="000E7480">
              <w:rPr>
                <w:color w:val="000000"/>
                <w:sz w:val="22"/>
                <w:szCs w:val="22"/>
                <w:lang w:val="en-IN" w:eastAsia="en-IN"/>
              </w:rPr>
              <w:t>2242</w:t>
            </w:r>
          </w:p>
        </w:tc>
        <w:tc>
          <w:tcPr>
            <w:tcW w:w="482" w:type="pct"/>
            <w:tcBorders>
              <w:top w:val="nil"/>
              <w:left w:val="nil"/>
              <w:bottom w:val="single" w:sz="8" w:space="0" w:color="auto"/>
              <w:right w:val="single" w:sz="4" w:space="0" w:color="auto"/>
            </w:tcBorders>
            <w:shd w:val="clear" w:color="auto" w:fill="auto"/>
            <w:noWrap/>
            <w:vAlign w:val="center"/>
          </w:tcPr>
          <w:p w:rsidR="000E7480" w:rsidRPr="000E7480" w:rsidRDefault="000E7480" w:rsidP="000E7480">
            <w:pPr>
              <w:spacing w:line="240" w:lineRule="auto"/>
              <w:jc w:val="center"/>
              <w:rPr>
                <w:color w:val="000000"/>
                <w:sz w:val="22"/>
                <w:szCs w:val="22"/>
                <w:lang w:val="en-IN" w:eastAsia="en-IN"/>
              </w:rPr>
            </w:pPr>
            <w:r w:rsidRPr="000E7480">
              <w:rPr>
                <w:color w:val="000000"/>
                <w:sz w:val="22"/>
                <w:szCs w:val="22"/>
                <w:lang w:val="en-IN" w:eastAsia="en-IN"/>
              </w:rPr>
              <w:t>2299</w:t>
            </w:r>
          </w:p>
        </w:tc>
      </w:tr>
    </w:tbl>
    <w:p w:rsidR="00595812" w:rsidRDefault="00595812" w:rsidP="00595812">
      <w:pPr>
        <w:pStyle w:val="ED-H3"/>
        <w:numPr>
          <w:ilvl w:val="0"/>
          <w:numId w:val="0"/>
        </w:numPr>
        <w:ind w:left="720"/>
      </w:pPr>
    </w:p>
    <w:p w:rsidR="00735CAB" w:rsidRDefault="00DB3E41" w:rsidP="007C11BA">
      <w:pPr>
        <w:pStyle w:val="ED-H3"/>
      </w:pPr>
      <w:r>
        <w:t>The employee expenses shall be covered in the MYT petition in terms of the MYT Regulations 2018.</w:t>
      </w:r>
      <w:r w:rsidR="00735CAB">
        <w:br w:type="page"/>
      </w:r>
    </w:p>
    <w:p w:rsidR="00337C5E" w:rsidRDefault="00E165A4">
      <w:pPr>
        <w:pStyle w:val="ED-H1"/>
      </w:pPr>
      <w:bookmarkStart w:id="136" w:name="_Toc523724498"/>
      <w:r>
        <w:lastRenderedPageBreak/>
        <w:t>Distribution wire business &amp; retail supply business</w:t>
      </w:r>
      <w:bookmarkEnd w:id="136"/>
    </w:p>
    <w:p w:rsidR="00E165A4" w:rsidRPr="00B834C0" w:rsidRDefault="00E165A4" w:rsidP="00E165A4">
      <w:pPr>
        <w:pStyle w:val="ED-H3"/>
        <w:numPr>
          <w:ilvl w:val="0"/>
          <w:numId w:val="0"/>
        </w:numPr>
        <w:ind w:left="720"/>
      </w:pPr>
      <w:r w:rsidRPr="00B834C0">
        <w:t xml:space="preserve">The Commission has come with the new MYT Regulations 2018 and as per Regulation 8 of the new MYT Regulations 2018 for the Control Period FY 2019-20 to FY 2021-22, the Business Plan shall cover as under: </w:t>
      </w:r>
    </w:p>
    <w:p w:rsidR="00E165A4" w:rsidRDefault="00E165A4" w:rsidP="00E165A4">
      <w:pPr>
        <w:pStyle w:val="EDNormal"/>
        <w:ind w:left="720"/>
        <w:rPr>
          <w:rFonts w:asciiTheme="minorHAnsi" w:eastAsia="Times New Roman" w:hAnsiTheme="minorHAnsi"/>
          <w:bCs/>
          <w:i/>
          <w:iCs/>
          <w:lang w:val="en-IN" w:bidi="hi-IN"/>
        </w:rPr>
      </w:pPr>
      <w:r>
        <w:rPr>
          <w:rFonts w:asciiTheme="minorHAnsi" w:eastAsia="Times New Roman" w:hAnsiTheme="minorHAnsi"/>
          <w:bCs/>
          <w:i/>
          <w:iCs/>
          <w:lang w:val="en-IN" w:bidi="hi-IN"/>
        </w:rPr>
        <w:t>Quote</w:t>
      </w:r>
    </w:p>
    <w:p w:rsidR="00E165A4" w:rsidRPr="009A6247" w:rsidRDefault="00E165A4" w:rsidP="00E165A4">
      <w:pPr>
        <w:pStyle w:val="EDNormal"/>
        <w:ind w:left="720"/>
        <w:rPr>
          <w:rFonts w:asciiTheme="minorHAnsi" w:eastAsia="Times New Roman" w:hAnsiTheme="minorHAnsi"/>
          <w:bCs/>
          <w:i/>
          <w:iCs/>
          <w:lang w:val="en-IN" w:bidi="hi-IN"/>
        </w:rPr>
      </w:pPr>
      <w:r>
        <w:rPr>
          <w:rFonts w:asciiTheme="minorHAnsi" w:eastAsia="Times New Roman" w:hAnsiTheme="minorHAnsi"/>
          <w:bCs/>
          <w:i/>
          <w:iCs/>
          <w:lang w:val="en-IN" w:bidi="hi-IN"/>
        </w:rPr>
        <w:t>“</w:t>
      </w:r>
      <w:r w:rsidRPr="009A6247">
        <w:rPr>
          <w:rFonts w:asciiTheme="minorHAnsi" w:eastAsia="Times New Roman" w:hAnsiTheme="minorHAnsi"/>
          <w:bCs/>
          <w:i/>
          <w:iCs/>
          <w:lang w:val="en-IN" w:bidi="hi-IN"/>
        </w:rPr>
        <w:t>8 Business Plan</w:t>
      </w:r>
    </w:p>
    <w:p w:rsidR="00E165A4" w:rsidRPr="009A6247" w:rsidRDefault="00E165A4" w:rsidP="00E165A4">
      <w:pPr>
        <w:pStyle w:val="EDNormal"/>
        <w:ind w:left="720"/>
        <w:rPr>
          <w:rFonts w:asciiTheme="minorHAnsi" w:eastAsia="Times New Roman" w:hAnsiTheme="minorHAnsi"/>
          <w:bCs/>
          <w:i/>
          <w:iCs/>
          <w:lang w:val="en-IN" w:bidi="hi-IN"/>
        </w:rPr>
      </w:pPr>
      <w:r w:rsidRPr="009A6247">
        <w:rPr>
          <w:rFonts w:asciiTheme="minorHAnsi" w:eastAsia="Times New Roman" w:hAnsiTheme="minorHAnsi"/>
          <w:bCs/>
          <w:i/>
          <w:iCs/>
          <w:lang w:val="en-IN" w:bidi="hi-IN"/>
        </w:rPr>
        <w:t>8.1 The Transmission Licensee and Distribution Licensee shall file for the Commission’s approval a Business Plan for the entire Control Period, approved by its a</w:t>
      </w:r>
      <w:r>
        <w:rPr>
          <w:rFonts w:asciiTheme="minorHAnsi" w:eastAsia="Times New Roman" w:hAnsiTheme="minorHAnsi"/>
          <w:bCs/>
          <w:i/>
          <w:iCs/>
          <w:lang w:val="en-IN" w:bidi="hi-IN"/>
        </w:rPr>
        <w:t>uthorized signatory by August 31</w:t>
      </w:r>
      <w:r w:rsidRPr="009A6247">
        <w:rPr>
          <w:rFonts w:asciiTheme="minorHAnsi" w:eastAsia="Times New Roman" w:hAnsiTheme="minorHAnsi"/>
          <w:bCs/>
          <w:i/>
          <w:iCs/>
          <w:lang w:val="en-IN" w:bidi="hi-IN"/>
        </w:rPr>
        <w:t>, 2018:</w:t>
      </w:r>
    </w:p>
    <w:p w:rsidR="00E165A4" w:rsidRPr="009A6247" w:rsidRDefault="00E165A4" w:rsidP="00E165A4">
      <w:pPr>
        <w:pStyle w:val="EDNormal"/>
        <w:ind w:left="720"/>
        <w:rPr>
          <w:rFonts w:asciiTheme="minorHAnsi" w:eastAsia="Times New Roman" w:hAnsiTheme="minorHAnsi"/>
          <w:bCs/>
          <w:i/>
          <w:iCs/>
          <w:lang w:val="en-IN" w:bidi="hi-IN"/>
        </w:rPr>
      </w:pPr>
      <w:r w:rsidRPr="009A6247">
        <w:rPr>
          <w:rFonts w:asciiTheme="minorHAnsi" w:eastAsia="Times New Roman" w:hAnsiTheme="minorHAnsi"/>
          <w:bCs/>
          <w:i/>
          <w:iCs/>
          <w:lang w:val="en-IN" w:bidi="hi-IN"/>
        </w:rPr>
        <w:t>Provided that the Generation Company shall not be required to file a Business Plan for the Control Period.</w:t>
      </w:r>
    </w:p>
    <w:p w:rsidR="00E165A4" w:rsidRPr="00E165A4" w:rsidRDefault="00E165A4" w:rsidP="00E165A4">
      <w:pPr>
        <w:pStyle w:val="EDNormal"/>
        <w:ind w:left="720"/>
        <w:rPr>
          <w:rFonts w:asciiTheme="minorHAnsi" w:eastAsia="Times New Roman" w:hAnsiTheme="minorHAnsi"/>
          <w:b/>
          <w:bCs/>
          <w:i/>
          <w:iCs/>
          <w:lang w:val="en-IN" w:bidi="hi-IN"/>
        </w:rPr>
      </w:pPr>
      <w:r w:rsidRPr="00E165A4">
        <w:rPr>
          <w:rFonts w:asciiTheme="minorHAnsi" w:eastAsia="Times New Roman" w:hAnsiTheme="minorHAnsi"/>
          <w:b/>
          <w:bCs/>
          <w:i/>
          <w:iCs/>
          <w:lang w:val="en-IN" w:bidi="hi-IN"/>
        </w:rPr>
        <w:t>8.2 The Business Plan filed by the Distribution Licensee shall contain separate sections on Distribution Wires Business and Retail Supply Business.</w:t>
      </w:r>
    </w:p>
    <w:p w:rsidR="00E165A4" w:rsidRDefault="00E165A4" w:rsidP="00517939">
      <w:pPr>
        <w:pStyle w:val="EDNormal"/>
        <w:ind w:left="720"/>
        <w:rPr>
          <w:rFonts w:cs="Calibri"/>
          <w:i/>
          <w:lang w:val="en-US"/>
        </w:rPr>
      </w:pPr>
    </w:p>
    <w:p w:rsidR="00E165A4" w:rsidRPr="00697CD4" w:rsidRDefault="00E165A4" w:rsidP="00E165A4">
      <w:pPr>
        <w:pStyle w:val="ED-H3"/>
        <w:numPr>
          <w:ilvl w:val="0"/>
          <w:numId w:val="0"/>
        </w:numPr>
        <w:ind w:left="720"/>
      </w:pPr>
      <w:r w:rsidRPr="00697CD4">
        <w:t xml:space="preserve">Further, Regulation </w:t>
      </w:r>
      <w:r w:rsidR="00697CD4" w:rsidRPr="00697CD4">
        <w:t xml:space="preserve">48 of the </w:t>
      </w:r>
      <w:r w:rsidRPr="00697CD4">
        <w:t xml:space="preserve">MYT Regulations 2018 for the Control Period FY 2019-20 to FY 2021-22, </w:t>
      </w:r>
      <w:r w:rsidR="00697CD4" w:rsidRPr="00697CD4">
        <w:t xml:space="preserve"> provides for the allocation statement for segregation between </w:t>
      </w:r>
      <w:r w:rsidRPr="00697CD4">
        <w:t xml:space="preserve">the </w:t>
      </w:r>
      <w:r w:rsidR="00697CD4" w:rsidRPr="00697CD4">
        <w:rPr>
          <w:rFonts w:cs="Calibri"/>
          <w:lang w:val="en-US"/>
        </w:rPr>
        <w:t>for Distribution Wires Business and Retail Supply Business</w:t>
      </w:r>
      <w:r w:rsidRPr="00697CD4">
        <w:t xml:space="preserve">as under: </w:t>
      </w:r>
    </w:p>
    <w:p w:rsidR="00697CD4" w:rsidRPr="00697CD4" w:rsidRDefault="00697CD4" w:rsidP="00697CD4">
      <w:pPr>
        <w:pStyle w:val="EDNormal"/>
        <w:ind w:left="720"/>
        <w:rPr>
          <w:rFonts w:cs="Calibri"/>
          <w:i/>
          <w:lang w:val="en-US"/>
        </w:rPr>
      </w:pPr>
      <w:r>
        <w:rPr>
          <w:rFonts w:cs="Calibri"/>
          <w:i/>
          <w:lang w:val="en-US"/>
        </w:rPr>
        <w:t>“</w:t>
      </w:r>
      <w:r w:rsidRPr="00697CD4">
        <w:rPr>
          <w:rFonts w:cs="Calibri"/>
          <w:i/>
          <w:lang w:val="en-US"/>
        </w:rPr>
        <w:t>48 Separation of Accounts of Distribution Licensee</w:t>
      </w:r>
    </w:p>
    <w:p w:rsidR="00697CD4" w:rsidRPr="00697CD4" w:rsidRDefault="00697CD4" w:rsidP="00697CD4">
      <w:pPr>
        <w:pStyle w:val="EDNormal"/>
        <w:ind w:left="720"/>
        <w:rPr>
          <w:rFonts w:cs="Calibri"/>
          <w:i/>
          <w:lang w:val="en-US"/>
        </w:rPr>
      </w:pPr>
      <w:r w:rsidRPr="00697CD4">
        <w:rPr>
          <w:rFonts w:cs="Calibri"/>
          <w:i/>
          <w:lang w:val="en-US"/>
        </w:rPr>
        <w:t>48.1 Every Distribution Licensee shall segregate accounts for Distribution Wires Business and Retail Supply Business and shall prepare an Allocation Statement. The wheeling charges pertaining to Distribution Wires Business of the Distribution Licensee shall be determined by the Commission on the basis of these segregated accounts:</w:t>
      </w:r>
    </w:p>
    <w:p w:rsidR="00E165A4" w:rsidRDefault="00697CD4" w:rsidP="00697CD4">
      <w:pPr>
        <w:pStyle w:val="EDNormal"/>
        <w:ind w:left="720"/>
        <w:rPr>
          <w:rFonts w:cs="Calibri"/>
          <w:i/>
          <w:lang w:val="en-US"/>
        </w:rPr>
      </w:pPr>
      <w:r w:rsidRPr="00697CD4">
        <w:rPr>
          <w:rFonts w:cs="Calibri"/>
          <w:i/>
          <w:lang w:val="en-US"/>
        </w:rPr>
        <w:t>Provided that in case complete accounting segregation has not been done, the following Allocation Statement shall be applicable:</w:t>
      </w:r>
    </w:p>
    <w:p w:rsidR="00247690" w:rsidRDefault="00247690" w:rsidP="00061AA6">
      <w:pPr>
        <w:pStyle w:val="Caption"/>
      </w:pPr>
      <w:bookmarkStart w:id="137" w:name="_Toc523719587"/>
      <w:r>
        <w:t xml:space="preserve">Table </w:t>
      </w:r>
      <w:r w:rsidR="00140E1B">
        <w:fldChar w:fldCharType="begin"/>
      </w:r>
      <w:r>
        <w:instrText xml:space="preserve"> SEQ Table \* ARABIC </w:instrText>
      </w:r>
      <w:r w:rsidR="00140E1B">
        <w:fldChar w:fldCharType="separate"/>
      </w:r>
      <w:r w:rsidR="004B7EE5">
        <w:rPr>
          <w:noProof/>
        </w:rPr>
        <w:t>28</w:t>
      </w:r>
      <w:r w:rsidR="00140E1B">
        <w:fldChar w:fldCharType="end"/>
      </w:r>
      <w:r>
        <w:t xml:space="preserve"> : Wire and Supply business allocation</w:t>
      </w:r>
      <w:bookmarkEnd w:id="137"/>
    </w:p>
    <w:p w:rsidR="00697CD4" w:rsidRDefault="00292FD0" w:rsidP="00517939">
      <w:pPr>
        <w:pStyle w:val="EDNormal"/>
        <w:ind w:left="720"/>
        <w:rPr>
          <w:rFonts w:cs="Calibri"/>
          <w:i/>
          <w:lang w:val="en-US"/>
        </w:rPr>
      </w:pPr>
      <w:r w:rsidRPr="00292FD0">
        <w:rPr>
          <w:noProof/>
          <w:lang w:val="en-US"/>
        </w:rPr>
        <w:drawing>
          <wp:inline distT="0" distB="0" distL="0" distR="0">
            <wp:extent cx="5033911" cy="27669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7048" cy="2774172"/>
                    </a:xfrm>
                    <a:prstGeom prst="rect">
                      <a:avLst/>
                    </a:prstGeom>
                    <a:noFill/>
                    <a:ln>
                      <a:noFill/>
                    </a:ln>
                  </pic:spPr>
                </pic:pic>
              </a:graphicData>
            </a:graphic>
          </wp:inline>
        </w:drawing>
      </w:r>
    </w:p>
    <w:p w:rsidR="00595812" w:rsidRDefault="00595812" w:rsidP="00517939">
      <w:pPr>
        <w:pStyle w:val="EDNormal"/>
        <w:ind w:left="720"/>
        <w:rPr>
          <w:rFonts w:cs="Calibri"/>
          <w:lang w:val="en-US"/>
        </w:rPr>
      </w:pPr>
    </w:p>
    <w:p w:rsidR="00E165A4" w:rsidRPr="00697CD4" w:rsidRDefault="00697CD4" w:rsidP="00517939">
      <w:pPr>
        <w:pStyle w:val="EDNormal"/>
        <w:ind w:left="720"/>
        <w:rPr>
          <w:rFonts w:cs="Calibri"/>
          <w:lang w:val="en-US"/>
        </w:rPr>
      </w:pPr>
      <w:r w:rsidRPr="00697CD4">
        <w:rPr>
          <w:rFonts w:cs="Calibri"/>
          <w:lang w:val="en-US"/>
        </w:rPr>
        <w:t>Accordingly, PED has prepared the Business plan for Distribution Wires Business and Retail Supply Business separately using the allocation state</w:t>
      </w:r>
      <w:r w:rsidR="00292FD0">
        <w:rPr>
          <w:rFonts w:cs="Calibri"/>
          <w:lang w:val="en-US"/>
        </w:rPr>
        <w:t>ment provided by the Commission</w:t>
      </w:r>
      <w:r w:rsidRPr="00697CD4">
        <w:rPr>
          <w:rFonts w:cs="Calibri"/>
          <w:lang w:val="en-US"/>
        </w:rPr>
        <w:t>.</w:t>
      </w:r>
      <w:r w:rsidR="0092636B">
        <w:rPr>
          <w:rFonts w:cs="Calibri"/>
          <w:lang w:val="en-US"/>
        </w:rPr>
        <w:t xml:space="preserve"> Since the Business Plan only c</w:t>
      </w:r>
      <w:r w:rsidR="00595812">
        <w:rPr>
          <w:rFonts w:cs="Calibri"/>
          <w:lang w:val="en-US"/>
        </w:rPr>
        <w:t>overs a few elements of the ARR, h</w:t>
      </w:r>
      <w:r w:rsidR="0092636B">
        <w:rPr>
          <w:rFonts w:cs="Calibri"/>
          <w:lang w:val="en-US"/>
        </w:rPr>
        <w:t>ere only Power Purchase Expenses and Capital Investment Plan forecasted for the Control period can be segregated and covered, all other components shall be discussed in detail in the MYT Petition.</w:t>
      </w:r>
    </w:p>
    <w:p w:rsidR="00B84DCD" w:rsidRDefault="00B84DCD" w:rsidP="00B84DCD">
      <w:pPr>
        <w:pStyle w:val="ED-H2"/>
        <w:numPr>
          <w:ilvl w:val="0"/>
          <w:numId w:val="0"/>
        </w:numPr>
        <w:ind w:left="720"/>
        <w:rPr>
          <w:b w:val="0"/>
          <w:lang w:val="en-GB"/>
        </w:rPr>
      </w:pPr>
    </w:p>
    <w:p w:rsidR="00337C5E" w:rsidRDefault="00E165A4">
      <w:pPr>
        <w:pStyle w:val="ED-H2"/>
        <w:rPr>
          <w:b w:val="0"/>
          <w:lang w:val="en-GB"/>
        </w:rPr>
      </w:pPr>
      <w:bookmarkStart w:id="138" w:name="_Toc523724499"/>
      <w:r>
        <w:t>Business Plan for Distribution Wire Business</w:t>
      </w:r>
      <w:bookmarkEnd w:id="138"/>
    </w:p>
    <w:p w:rsidR="0092636B" w:rsidRDefault="0092636B">
      <w:pPr>
        <w:pStyle w:val="ED-H3"/>
      </w:pPr>
      <w:r>
        <w:t>Power Purchase Expenses:</w:t>
      </w:r>
    </w:p>
    <w:p w:rsidR="0092636B" w:rsidRDefault="0092636B" w:rsidP="0092636B">
      <w:pPr>
        <w:pStyle w:val="ED-H3"/>
        <w:numPr>
          <w:ilvl w:val="0"/>
          <w:numId w:val="0"/>
        </w:numPr>
        <w:ind w:left="720"/>
      </w:pPr>
      <w:r>
        <w:t>No power purchase expenses shall be incurred for the Wire Business.</w:t>
      </w:r>
    </w:p>
    <w:p w:rsidR="0092636B" w:rsidRDefault="0092636B" w:rsidP="0092636B">
      <w:pPr>
        <w:pStyle w:val="ED-H3"/>
        <w:numPr>
          <w:ilvl w:val="0"/>
          <w:numId w:val="0"/>
        </w:numPr>
        <w:ind w:left="720"/>
      </w:pPr>
    </w:p>
    <w:p w:rsidR="0092636B" w:rsidRDefault="0092636B" w:rsidP="0092636B">
      <w:pPr>
        <w:pStyle w:val="ED-H3"/>
      </w:pPr>
      <w:r>
        <w:t>Capital Expenditure, Capital Cost:</w:t>
      </w:r>
    </w:p>
    <w:p w:rsidR="00E1315A" w:rsidRDefault="0092636B" w:rsidP="0092636B">
      <w:pPr>
        <w:pStyle w:val="ED-H3"/>
        <w:numPr>
          <w:ilvl w:val="0"/>
          <w:numId w:val="0"/>
        </w:numPr>
        <w:ind w:left="720"/>
      </w:pPr>
      <w:r>
        <w:t xml:space="preserve">90% of the Capital cost, depreciation shall be </w:t>
      </w:r>
      <w:r w:rsidR="00E87253">
        <w:t>for the Distribution Wire Business. Accordingly,</w:t>
      </w:r>
      <w:r w:rsidR="00E1315A">
        <w:t xml:space="preserve"> t</w:t>
      </w:r>
      <w:r w:rsidR="00517939" w:rsidRPr="00855CFA">
        <w:t xml:space="preserve">he following table shows the </w:t>
      </w:r>
      <w:r w:rsidR="00E1315A">
        <w:t>project Capital Expenditure and Capitalization during the Control Period</w:t>
      </w:r>
    </w:p>
    <w:p w:rsidR="007C11BA" w:rsidRPr="007C11BA" w:rsidRDefault="007C11BA" w:rsidP="007C11BA">
      <w:pPr>
        <w:pStyle w:val="EDNormal"/>
        <w:rPr>
          <w:lang w:val="en-IN" w:bidi="hi-IN"/>
        </w:rPr>
      </w:pPr>
    </w:p>
    <w:p w:rsidR="00E1315A" w:rsidRPr="00284B43" w:rsidRDefault="00E1315A" w:rsidP="00061AA6">
      <w:pPr>
        <w:pStyle w:val="Caption"/>
        <w:rPr>
          <w:sz w:val="20"/>
          <w:szCs w:val="20"/>
        </w:rPr>
      </w:pPr>
      <w:bookmarkStart w:id="139" w:name="_Toc523719588"/>
      <w:r w:rsidRPr="00E56CDF">
        <w:t xml:space="preserve">Table </w:t>
      </w:r>
      <w:r w:rsidR="00140E1B">
        <w:fldChar w:fldCharType="begin"/>
      </w:r>
      <w:r>
        <w:instrText xml:space="preserve"> SEQ Table \* ARABIC </w:instrText>
      </w:r>
      <w:r w:rsidR="00140E1B">
        <w:fldChar w:fldCharType="separate"/>
      </w:r>
      <w:r w:rsidR="004B7EE5">
        <w:rPr>
          <w:noProof/>
        </w:rPr>
        <w:t>29</w:t>
      </w:r>
      <w:r w:rsidR="00140E1B">
        <w:rPr>
          <w:noProof/>
        </w:rPr>
        <w:fldChar w:fldCharType="end"/>
      </w:r>
      <w:r w:rsidRPr="00E56CDF">
        <w:t xml:space="preserve">: </w:t>
      </w:r>
      <w:r>
        <w:t xml:space="preserve">Proposed Capital Expenditurefor the Distribution Wire Business </w:t>
      </w:r>
      <w:r w:rsidRPr="00E56CDF">
        <w:t>during the Control Period</w:t>
      </w:r>
      <w:r w:rsidRPr="00284B43">
        <w:rPr>
          <w:sz w:val="20"/>
          <w:szCs w:val="20"/>
        </w:rPr>
        <w:t>(</w:t>
      </w:r>
      <w:r w:rsidRPr="003472E1">
        <w:rPr>
          <w:sz w:val="20"/>
          <w:szCs w:val="20"/>
        </w:rPr>
        <w:t>Rs. Cr</w:t>
      </w:r>
      <w:r w:rsidRPr="00284B43">
        <w:rPr>
          <w:sz w:val="20"/>
          <w:szCs w:val="20"/>
        </w:rPr>
        <w:t>)</w:t>
      </w:r>
      <w:bookmarkEnd w:id="1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1"/>
        <w:gridCol w:w="3086"/>
        <w:gridCol w:w="3088"/>
      </w:tblGrid>
      <w:tr w:rsidR="00E1315A" w:rsidRPr="00E1315A" w:rsidTr="00E1315A">
        <w:trPr>
          <w:trHeight w:val="315"/>
        </w:trPr>
        <w:tc>
          <w:tcPr>
            <w:tcW w:w="5000" w:type="pct"/>
            <w:gridSpan w:val="3"/>
            <w:shd w:val="clear" w:color="000000" w:fill="44546A"/>
            <w:noWrap/>
            <w:vAlign w:val="bottom"/>
            <w:hideMark/>
          </w:tcPr>
          <w:p w:rsidR="00E1315A" w:rsidRPr="00E1315A" w:rsidRDefault="00E1315A" w:rsidP="00E1315A">
            <w:pPr>
              <w:spacing w:line="240" w:lineRule="auto"/>
              <w:jc w:val="center"/>
              <w:rPr>
                <w:b/>
                <w:bCs/>
                <w:color w:val="FFFFFF"/>
                <w:sz w:val="22"/>
                <w:szCs w:val="22"/>
                <w:lang w:val="en-IN" w:eastAsia="en-IN"/>
              </w:rPr>
            </w:pPr>
            <w:r w:rsidRPr="00E1315A">
              <w:rPr>
                <w:b/>
                <w:bCs/>
                <w:color w:val="FFFFFF"/>
                <w:sz w:val="22"/>
                <w:szCs w:val="22"/>
                <w:lang w:val="en-IN" w:eastAsia="en-IN"/>
              </w:rPr>
              <w:t>Projections</w:t>
            </w:r>
          </w:p>
        </w:tc>
      </w:tr>
      <w:tr w:rsidR="00E1315A" w:rsidRPr="00E1315A" w:rsidTr="00E1315A">
        <w:trPr>
          <w:trHeight w:val="300"/>
        </w:trPr>
        <w:tc>
          <w:tcPr>
            <w:tcW w:w="1661" w:type="pct"/>
            <w:shd w:val="clear" w:color="000000" w:fill="ACB9CA"/>
            <w:noWrap/>
            <w:vAlign w:val="center"/>
            <w:hideMark/>
          </w:tcPr>
          <w:p w:rsidR="00E1315A" w:rsidRPr="00E1315A" w:rsidRDefault="00E1315A" w:rsidP="00E1315A">
            <w:pPr>
              <w:spacing w:line="240" w:lineRule="auto"/>
              <w:jc w:val="center"/>
              <w:rPr>
                <w:b/>
                <w:bCs/>
                <w:color w:val="000000"/>
                <w:sz w:val="22"/>
                <w:szCs w:val="22"/>
                <w:lang w:val="en-IN" w:eastAsia="en-IN"/>
              </w:rPr>
            </w:pPr>
            <w:r w:rsidRPr="00E1315A">
              <w:rPr>
                <w:b/>
                <w:bCs/>
                <w:color w:val="000000"/>
                <w:sz w:val="22"/>
                <w:szCs w:val="22"/>
                <w:lang w:val="en-IN" w:eastAsia="en-IN"/>
              </w:rPr>
              <w:t>FY 2019-20</w:t>
            </w:r>
          </w:p>
        </w:tc>
        <w:tc>
          <w:tcPr>
            <w:tcW w:w="1669" w:type="pct"/>
            <w:shd w:val="clear" w:color="000000" w:fill="ACB9CA"/>
            <w:noWrap/>
            <w:vAlign w:val="bottom"/>
            <w:hideMark/>
          </w:tcPr>
          <w:p w:rsidR="00E1315A" w:rsidRPr="00E1315A" w:rsidRDefault="00E1315A" w:rsidP="00E1315A">
            <w:pPr>
              <w:spacing w:line="240" w:lineRule="auto"/>
              <w:jc w:val="center"/>
              <w:rPr>
                <w:b/>
                <w:bCs/>
                <w:color w:val="000000"/>
                <w:sz w:val="22"/>
                <w:szCs w:val="22"/>
                <w:lang w:val="en-IN" w:eastAsia="en-IN"/>
              </w:rPr>
            </w:pPr>
            <w:r w:rsidRPr="00E1315A">
              <w:rPr>
                <w:b/>
                <w:bCs/>
                <w:color w:val="000000"/>
                <w:sz w:val="22"/>
                <w:szCs w:val="22"/>
                <w:lang w:val="en-IN" w:eastAsia="en-IN"/>
              </w:rPr>
              <w:t>FY 2020-21</w:t>
            </w:r>
          </w:p>
        </w:tc>
        <w:tc>
          <w:tcPr>
            <w:tcW w:w="1670" w:type="pct"/>
            <w:shd w:val="clear" w:color="000000" w:fill="ACB9CA"/>
            <w:noWrap/>
            <w:vAlign w:val="center"/>
            <w:hideMark/>
          </w:tcPr>
          <w:p w:rsidR="00E1315A" w:rsidRPr="00E1315A" w:rsidRDefault="00E1315A" w:rsidP="00E1315A">
            <w:pPr>
              <w:spacing w:line="240" w:lineRule="auto"/>
              <w:jc w:val="center"/>
              <w:rPr>
                <w:b/>
                <w:bCs/>
                <w:color w:val="000000"/>
                <w:sz w:val="22"/>
                <w:szCs w:val="22"/>
                <w:lang w:val="en-IN" w:eastAsia="en-IN"/>
              </w:rPr>
            </w:pPr>
            <w:r w:rsidRPr="00E1315A">
              <w:rPr>
                <w:b/>
                <w:bCs/>
                <w:color w:val="000000"/>
                <w:sz w:val="22"/>
                <w:szCs w:val="22"/>
                <w:lang w:val="en-IN" w:eastAsia="en-IN"/>
              </w:rPr>
              <w:t>FY 2021-22</w:t>
            </w:r>
          </w:p>
        </w:tc>
      </w:tr>
      <w:tr w:rsidR="00677CD9" w:rsidRPr="00E1315A" w:rsidTr="00E1315A">
        <w:trPr>
          <w:trHeight w:val="300"/>
        </w:trPr>
        <w:tc>
          <w:tcPr>
            <w:tcW w:w="1661" w:type="pct"/>
            <w:shd w:val="clear" w:color="auto" w:fill="auto"/>
            <w:noWrap/>
            <w:vAlign w:val="bottom"/>
            <w:hideMark/>
          </w:tcPr>
          <w:p w:rsidR="00677CD9" w:rsidRDefault="00677CD9" w:rsidP="00677CD9">
            <w:pPr>
              <w:spacing w:line="240" w:lineRule="auto"/>
              <w:jc w:val="center"/>
              <w:rPr>
                <w:color w:val="000000"/>
                <w:sz w:val="22"/>
                <w:szCs w:val="22"/>
                <w:lang w:val="en-IN"/>
              </w:rPr>
            </w:pPr>
            <w:r>
              <w:rPr>
                <w:color w:val="000000"/>
                <w:sz w:val="22"/>
                <w:szCs w:val="22"/>
              </w:rPr>
              <w:t>162.41</w:t>
            </w:r>
          </w:p>
        </w:tc>
        <w:tc>
          <w:tcPr>
            <w:tcW w:w="1669" w:type="pct"/>
            <w:shd w:val="clear" w:color="auto" w:fill="auto"/>
            <w:noWrap/>
            <w:vAlign w:val="bottom"/>
            <w:hideMark/>
          </w:tcPr>
          <w:p w:rsidR="00677CD9" w:rsidRDefault="00677CD9" w:rsidP="00677CD9">
            <w:pPr>
              <w:jc w:val="center"/>
              <w:rPr>
                <w:color w:val="000000"/>
                <w:sz w:val="22"/>
                <w:szCs w:val="22"/>
              </w:rPr>
            </w:pPr>
            <w:r>
              <w:rPr>
                <w:color w:val="000000"/>
                <w:sz w:val="22"/>
                <w:szCs w:val="22"/>
              </w:rPr>
              <w:t>256.80</w:t>
            </w:r>
          </w:p>
        </w:tc>
        <w:tc>
          <w:tcPr>
            <w:tcW w:w="1670" w:type="pct"/>
            <w:shd w:val="clear" w:color="auto" w:fill="auto"/>
            <w:noWrap/>
            <w:vAlign w:val="bottom"/>
            <w:hideMark/>
          </w:tcPr>
          <w:p w:rsidR="00677CD9" w:rsidRDefault="00677CD9" w:rsidP="00677CD9">
            <w:pPr>
              <w:jc w:val="center"/>
              <w:rPr>
                <w:color w:val="000000"/>
                <w:sz w:val="22"/>
                <w:szCs w:val="22"/>
              </w:rPr>
            </w:pPr>
            <w:r>
              <w:rPr>
                <w:color w:val="000000"/>
                <w:sz w:val="22"/>
                <w:szCs w:val="22"/>
              </w:rPr>
              <w:t>265.40</w:t>
            </w:r>
          </w:p>
        </w:tc>
      </w:tr>
    </w:tbl>
    <w:p w:rsidR="00E1315A" w:rsidRDefault="00E1315A" w:rsidP="00061AA6">
      <w:pPr>
        <w:pStyle w:val="Caption"/>
      </w:pPr>
    </w:p>
    <w:p w:rsidR="00E1315A" w:rsidRDefault="00E1315A" w:rsidP="00061AA6">
      <w:pPr>
        <w:pStyle w:val="Caption"/>
      </w:pPr>
    </w:p>
    <w:p w:rsidR="00E1315A" w:rsidRPr="00E56CDF" w:rsidRDefault="00E1315A" w:rsidP="00061AA6">
      <w:pPr>
        <w:pStyle w:val="Caption"/>
      </w:pPr>
      <w:bookmarkStart w:id="140" w:name="_Toc523719589"/>
      <w:r w:rsidRPr="00E56CDF">
        <w:t xml:space="preserve">Table </w:t>
      </w:r>
      <w:r w:rsidR="00140E1B">
        <w:fldChar w:fldCharType="begin"/>
      </w:r>
      <w:r>
        <w:instrText xml:space="preserve"> SEQ Table \* ARABIC </w:instrText>
      </w:r>
      <w:r w:rsidR="00140E1B">
        <w:fldChar w:fldCharType="separate"/>
      </w:r>
      <w:r w:rsidR="004B7EE5">
        <w:rPr>
          <w:noProof/>
        </w:rPr>
        <w:t>30</w:t>
      </w:r>
      <w:r w:rsidR="00140E1B">
        <w:rPr>
          <w:noProof/>
        </w:rPr>
        <w:fldChar w:fldCharType="end"/>
      </w:r>
      <w:r w:rsidRPr="00E56CDF">
        <w:t xml:space="preserve">: Proposed GFA </w:t>
      </w:r>
      <w:r>
        <w:t xml:space="preserve">for the Distribution Wire Business </w:t>
      </w:r>
      <w:r w:rsidRPr="00E56CDF">
        <w:t>during the Control Period</w:t>
      </w:r>
      <w:bookmarkEnd w:id="140"/>
    </w:p>
    <w:p w:rsidR="00E1315A" w:rsidRPr="00284B43" w:rsidRDefault="00E1315A" w:rsidP="00E1315A">
      <w:pPr>
        <w:ind w:left="5760" w:firstLine="720"/>
        <w:rPr>
          <w:sz w:val="20"/>
          <w:szCs w:val="20"/>
        </w:rPr>
      </w:pPr>
      <w:r w:rsidRPr="00284B43">
        <w:rPr>
          <w:sz w:val="20"/>
          <w:szCs w:val="20"/>
        </w:rPr>
        <w:t>(</w:t>
      </w:r>
      <w:r w:rsidRPr="003472E1">
        <w:rPr>
          <w:b/>
          <w:sz w:val="20"/>
          <w:szCs w:val="20"/>
        </w:rPr>
        <w:t>Rs. Cr</w:t>
      </w:r>
      <w:r w:rsidRPr="00284B43">
        <w:rPr>
          <w:sz w:val="20"/>
          <w:szCs w:val="20"/>
        </w:rPr>
        <w:t>)</w:t>
      </w:r>
    </w:p>
    <w:tbl>
      <w:tblPr>
        <w:tblW w:w="8633" w:type="dxa"/>
        <w:jc w:val="center"/>
        <w:tblLook w:val="04A0"/>
      </w:tblPr>
      <w:tblGrid>
        <w:gridCol w:w="3392"/>
        <w:gridCol w:w="1747"/>
        <w:gridCol w:w="1747"/>
        <w:gridCol w:w="1747"/>
      </w:tblGrid>
      <w:tr w:rsidR="00E1315A" w:rsidRPr="00E1315A" w:rsidTr="007C11BA">
        <w:trPr>
          <w:trHeight w:val="300"/>
          <w:jc w:val="center"/>
        </w:trPr>
        <w:tc>
          <w:tcPr>
            <w:tcW w:w="3392" w:type="dxa"/>
            <w:tcBorders>
              <w:top w:val="single" w:sz="8" w:space="0" w:color="auto"/>
              <w:left w:val="single" w:sz="8" w:space="0" w:color="auto"/>
              <w:bottom w:val="single" w:sz="4" w:space="0" w:color="auto"/>
              <w:right w:val="single" w:sz="4" w:space="0" w:color="auto"/>
            </w:tcBorders>
            <w:shd w:val="clear" w:color="000000" w:fill="ACB9CA"/>
            <w:noWrap/>
            <w:vAlign w:val="bottom"/>
            <w:hideMark/>
          </w:tcPr>
          <w:p w:rsidR="00E1315A" w:rsidRPr="00E1315A" w:rsidRDefault="00E1315A" w:rsidP="00E1315A">
            <w:pPr>
              <w:spacing w:line="240" w:lineRule="auto"/>
              <w:jc w:val="left"/>
              <w:rPr>
                <w:color w:val="000000"/>
                <w:sz w:val="22"/>
                <w:szCs w:val="22"/>
                <w:lang w:val="en-IN" w:eastAsia="en-IN"/>
              </w:rPr>
            </w:pPr>
            <w:r w:rsidRPr="00E1315A">
              <w:rPr>
                <w:color w:val="000000"/>
                <w:sz w:val="22"/>
                <w:szCs w:val="22"/>
                <w:lang w:val="en-IN" w:eastAsia="en-IN"/>
              </w:rPr>
              <w:t> </w:t>
            </w:r>
          </w:p>
        </w:tc>
        <w:tc>
          <w:tcPr>
            <w:tcW w:w="5241" w:type="dxa"/>
            <w:gridSpan w:val="3"/>
            <w:tcBorders>
              <w:top w:val="single" w:sz="4" w:space="0" w:color="auto"/>
              <w:left w:val="single" w:sz="4" w:space="0" w:color="auto"/>
              <w:bottom w:val="single" w:sz="4" w:space="0" w:color="auto"/>
              <w:right w:val="single" w:sz="4" w:space="0" w:color="auto"/>
            </w:tcBorders>
            <w:shd w:val="clear" w:color="000000" w:fill="ACB9CA"/>
            <w:noWrap/>
            <w:vAlign w:val="center"/>
            <w:hideMark/>
          </w:tcPr>
          <w:p w:rsidR="00E1315A" w:rsidRPr="00E1315A" w:rsidRDefault="00E1315A" w:rsidP="00E1315A">
            <w:pPr>
              <w:spacing w:line="240" w:lineRule="auto"/>
              <w:jc w:val="center"/>
              <w:rPr>
                <w:b/>
                <w:bCs/>
                <w:color w:val="000000"/>
                <w:sz w:val="22"/>
                <w:szCs w:val="22"/>
                <w:lang w:val="en-IN" w:eastAsia="en-IN"/>
              </w:rPr>
            </w:pPr>
            <w:r w:rsidRPr="00E1315A">
              <w:rPr>
                <w:b/>
                <w:bCs/>
                <w:color w:val="000000"/>
                <w:sz w:val="22"/>
                <w:szCs w:val="22"/>
                <w:lang w:val="en-IN" w:eastAsia="en-IN"/>
              </w:rPr>
              <w:t>Projections</w:t>
            </w:r>
          </w:p>
        </w:tc>
      </w:tr>
      <w:tr w:rsidR="00E1315A" w:rsidRPr="00E1315A" w:rsidTr="007C11BA">
        <w:trPr>
          <w:trHeight w:val="375"/>
          <w:jc w:val="center"/>
        </w:trPr>
        <w:tc>
          <w:tcPr>
            <w:tcW w:w="3392" w:type="dxa"/>
            <w:tcBorders>
              <w:top w:val="nil"/>
              <w:left w:val="single" w:sz="8" w:space="0" w:color="auto"/>
              <w:bottom w:val="single" w:sz="4" w:space="0" w:color="auto"/>
              <w:right w:val="single" w:sz="4" w:space="0" w:color="auto"/>
            </w:tcBorders>
            <w:shd w:val="clear" w:color="000000" w:fill="ACB9CA"/>
            <w:vAlign w:val="center"/>
            <w:hideMark/>
          </w:tcPr>
          <w:p w:rsidR="00E1315A" w:rsidRPr="00E1315A" w:rsidRDefault="00E1315A" w:rsidP="00E1315A">
            <w:pPr>
              <w:spacing w:line="240" w:lineRule="auto"/>
              <w:jc w:val="center"/>
              <w:rPr>
                <w:b/>
                <w:bCs/>
                <w:sz w:val="20"/>
                <w:szCs w:val="20"/>
                <w:lang w:val="en-IN" w:eastAsia="en-IN"/>
              </w:rPr>
            </w:pPr>
            <w:r w:rsidRPr="00E1315A">
              <w:rPr>
                <w:b/>
                <w:bCs/>
                <w:sz w:val="20"/>
                <w:szCs w:val="20"/>
                <w:lang w:val="en-IN" w:eastAsia="en-IN"/>
              </w:rPr>
              <w:t>Particulars*</w:t>
            </w:r>
          </w:p>
        </w:tc>
        <w:tc>
          <w:tcPr>
            <w:tcW w:w="1747" w:type="dxa"/>
            <w:tcBorders>
              <w:top w:val="nil"/>
              <w:left w:val="single" w:sz="4" w:space="0" w:color="auto"/>
              <w:bottom w:val="single" w:sz="4" w:space="0" w:color="auto"/>
              <w:right w:val="single" w:sz="4" w:space="0" w:color="auto"/>
            </w:tcBorders>
            <w:shd w:val="clear" w:color="000000" w:fill="ACB9CA"/>
            <w:noWrap/>
            <w:vAlign w:val="center"/>
            <w:hideMark/>
          </w:tcPr>
          <w:p w:rsidR="00E1315A" w:rsidRPr="00E1315A" w:rsidRDefault="00E1315A" w:rsidP="00E1315A">
            <w:pPr>
              <w:spacing w:line="240" w:lineRule="auto"/>
              <w:jc w:val="center"/>
              <w:rPr>
                <w:b/>
                <w:bCs/>
                <w:color w:val="000000"/>
                <w:sz w:val="22"/>
                <w:szCs w:val="22"/>
                <w:lang w:val="en-IN" w:eastAsia="en-IN"/>
              </w:rPr>
            </w:pPr>
            <w:r w:rsidRPr="00E1315A">
              <w:rPr>
                <w:b/>
                <w:bCs/>
                <w:color w:val="000000"/>
                <w:sz w:val="22"/>
                <w:szCs w:val="22"/>
                <w:lang w:val="en-IN" w:eastAsia="en-IN"/>
              </w:rPr>
              <w:t>FY 2019-20</w:t>
            </w:r>
          </w:p>
        </w:tc>
        <w:tc>
          <w:tcPr>
            <w:tcW w:w="1747" w:type="dxa"/>
            <w:tcBorders>
              <w:top w:val="nil"/>
              <w:left w:val="nil"/>
              <w:bottom w:val="single" w:sz="4" w:space="0" w:color="auto"/>
              <w:right w:val="single" w:sz="4" w:space="0" w:color="auto"/>
            </w:tcBorders>
            <w:shd w:val="clear" w:color="000000" w:fill="ACB9CA"/>
            <w:noWrap/>
            <w:vAlign w:val="center"/>
            <w:hideMark/>
          </w:tcPr>
          <w:p w:rsidR="00E1315A" w:rsidRPr="00E1315A" w:rsidRDefault="00E1315A" w:rsidP="00E1315A">
            <w:pPr>
              <w:spacing w:line="240" w:lineRule="auto"/>
              <w:jc w:val="center"/>
              <w:rPr>
                <w:b/>
                <w:bCs/>
                <w:color w:val="000000"/>
                <w:sz w:val="22"/>
                <w:szCs w:val="22"/>
                <w:lang w:val="en-IN" w:eastAsia="en-IN"/>
              </w:rPr>
            </w:pPr>
            <w:r w:rsidRPr="00E1315A">
              <w:rPr>
                <w:b/>
                <w:bCs/>
                <w:color w:val="000000"/>
                <w:sz w:val="22"/>
                <w:szCs w:val="22"/>
                <w:lang w:val="en-IN" w:eastAsia="en-IN"/>
              </w:rPr>
              <w:t>FY 2020-21</w:t>
            </w:r>
          </w:p>
        </w:tc>
        <w:tc>
          <w:tcPr>
            <w:tcW w:w="1747" w:type="dxa"/>
            <w:tcBorders>
              <w:top w:val="nil"/>
              <w:left w:val="nil"/>
              <w:bottom w:val="single" w:sz="4" w:space="0" w:color="auto"/>
              <w:right w:val="single" w:sz="4" w:space="0" w:color="auto"/>
            </w:tcBorders>
            <w:shd w:val="clear" w:color="000000" w:fill="ACB9CA"/>
            <w:noWrap/>
            <w:vAlign w:val="center"/>
            <w:hideMark/>
          </w:tcPr>
          <w:p w:rsidR="00E1315A" w:rsidRPr="00E1315A" w:rsidRDefault="00E1315A" w:rsidP="00E1315A">
            <w:pPr>
              <w:spacing w:line="240" w:lineRule="auto"/>
              <w:jc w:val="center"/>
              <w:rPr>
                <w:b/>
                <w:bCs/>
                <w:color w:val="000000"/>
                <w:sz w:val="22"/>
                <w:szCs w:val="22"/>
                <w:lang w:val="en-IN" w:eastAsia="en-IN"/>
              </w:rPr>
            </w:pPr>
            <w:r w:rsidRPr="00E1315A">
              <w:rPr>
                <w:b/>
                <w:bCs/>
                <w:color w:val="000000"/>
                <w:sz w:val="22"/>
                <w:szCs w:val="22"/>
                <w:lang w:val="en-IN" w:eastAsia="en-IN"/>
              </w:rPr>
              <w:t>FY 2021-22</w:t>
            </w:r>
          </w:p>
        </w:tc>
      </w:tr>
      <w:tr w:rsidR="00E1315A" w:rsidRPr="00E1315A" w:rsidTr="007C11BA">
        <w:trPr>
          <w:trHeight w:val="300"/>
          <w:jc w:val="center"/>
        </w:trPr>
        <w:tc>
          <w:tcPr>
            <w:tcW w:w="3392" w:type="dxa"/>
            <w:tcBorders>
              <w:top w:val="nil"/>
              <w:left w:val="single" w:sz="8" w:space="0" w:color="auto"/>
              <w:bottom w:val="single" w:sz="4" w:space="0" w:color="auto"/>
              <w:right w:val="single" w:sz="4" w:space="0" w:color="auto"/>
            </w:tcBorders>
            <w:shd w:val="clear" w:color="auto" w:fill="auto"/>
            <w:noWrap/>
            <w:vAlign w:val="bottom"/>
            <w:hideMark/>
          </w:tcPr>
          <w:p w:rsidR="00E1315A" w:rsidRPr="00E1315A" w:rsidRDefault="00E1315A" w:rsidP="00E1315A">
            <w:pPr>
              <w:spacing w:line="240" w:lineRule="auto"/>
              <w:jc w:val="left"/>
              <w:rPr>
                <w:color w:val="000000"/>
                <w:sz w:val="22"/>
                <w:szCs w:val="22"/>
                <w:lang w:val="en-IN" w:eastAsia="en-IN"/>
              </w:rPr>
            </w:pPr>
            <w:r w:rsidRPr="00E1315A">
              <w:rPr>
                <w:color w:val="000000"/>
                <w:sz w:val="22"/>
                <w:szCs w:val="22"/>
                <w:lang w:val="en-IN" w:eastAsia="en-IN"/>
              </w:rPr>
              <w:t>GFA at the beginning of the year</w:t>
            </w:r>
          </w:p>
        </w:tc>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E1315A" w:rsidRPr="00E1315A" w:rsidRDefault="00E1315A" w:rsidP="00E1315A">
            <w:pPr>
              <w:spacing w:line="240" w:lineRule="auto"/>
              <w:jc w:val="right"/>
              <w:rPr>
                <w:color w:val="000000"/>
                <w:sz w:val="22"/>
                <w:szCs w:val="22"/>
                <w:lang w:val="en-IN" w:eastAsia="en-IN"/>
              </w:rPr>
            </w:pPr>
            <w:r w:rsidRPr="00E1315A">
              <w:rPr>
                <w:color w:val="000000"/>
                <w:sz w:val="22"/>
                <w:szCs w:val="22"/>
                <w:lang w:val="en-IN" w:eastAsia="en-IN"/>
              </w:rPr>
              <w:t>715.47</w:t>
            </w:r>
          </w:p>
        </w:tc>
        <w:tc>
          <w:tcPr>
            <w:tcW w:w="1747" w:type="dxa"/>
            <w:tcBorders>
              <w:top w:val="nil"/>
              <w:left w:val="nil"/>
              <w:bottom w:val="single" w:sz="4" w:space="0" w:color="auto"/>
              <w:right w:val="single" w:sz="4" w:space="0" w:color="auto"/>
            </w:tcBorders>
            <w:shd w:val="clear" w:color="auto" w:fill="auto"/>
            <w:noWrap/>
            <w:vAlign w:val="bottom"/>
            <w:hideMark/>
          </w:tcPr>
          <w:p w:rsidR="00E1315A" w:rsidRPr="00E1315A" w:rsidRDefault="00E1315A" w:rsidP="00E1315A">
            <w:pPr>
              <w:spacing w:line="240" w:lineRule="auto"/>
              <w:jc w:val="right"/>
              <w:rPr>
                <w:color w:val="000000"/>
                <w:sz w:val="22"/>
                <w:szCs w:val="22"/>
                <w:lang w:val="en-IN" w:eastAsia="en-IN"/>
              </w:rPr>
            </w:pPr>
            <w:r w:rsidRPr="00E1315A">
              <w:rPr>
                <w:color w:val="000000"/>
                <w:sz w:val="22"/>
                <w:szCs w:val="22"/>
                <w:lang w:val="en-IN" w:eastAsia="en-IN"/>
              </w:rPr>
              <w:t>787.02</w:t>
            </w:r>
          </w:p>
        </w:tc>
        <w:tc>
          <w:tcPr>
            <w:tcW w:w="1747" w:type="dxa"/>
            <w:tcBorders>
              <w:top w:val="nil"/>
              <w:left w:val="nil"/>
              <w:bottom w:val="single" w:sz="4" w:space="0" w:color="auto"/>
              <w:right w:val="single" w:sz="4" w:space="0" w:color="auto"/>
            </w:tcBorders>
            <w:shd w:val="clear" w:color="auto" w:fill="auto"/>
            <w:noWrap/>
            <w:vAlign w:val="bottom"/>
            <w:hideMark/>
          </w:tcPr>
          <w:p w:rsidR="00E1315A" w:rsidRPr="00E1315A" w:rsidRDefault="00E1315A" w:rsidP="00E1315A">
            <w:pPr>
              <w:spacing w:line="240" w:lineRule="auto"/>
              <w:jc w:val="right"/>
              <w:rPr>
                <w:color w:val="000000"/>
                <w:sz w:val="22"/>
                <w:szCs w:val="22"/>
                <w:lang w:val="en-IN" w:eastAsia="en-IN"/>
              </w:rPr>
            </w:pPr>
            <w:r w:rsidRPr="00E1315A">
              <w:rPr>
                <w:color w:val="000000"/>
                <w:sz w:val="22"/>
                <w:szCs w:val="22"/>
                <w:lang w:val="en-IN" w:eastAsia="en-IN"/>
              </w:rPr>
              <w:t>895.57</w:t>
            </w:r>
          </w:p>
        </w:tc>
      </w:tr>
      <w:tr w:rsidR="00E1315A" w:rsidRPr="00E1315A" w:rsidTr="007C11BA">
        <w:trPr>
          <w:trHeight w:val="300"/>
          <w:jc w:val="center"/>
        </w:trPr>
        <w:tc>
          <w:tcPr>
            <w:tcW w:w="3392" w:type="dxa"/>
            <w:tcBorders>
              <w:top w:val="nil"/>
              <w:left w:val="single" w:sz="8" w:space="0" w:color="auto"/>
              <w:bottom w:val="single" w:sz="4" w:space="0" w:color="auto"/>
              <w:right w:val="single" w:sz="4" w:space="0" w:color="auto"/>
            </w:tcBorders>
            <w:shd w:val="clear" w:color="auto" w:fill="auto"/>
            <w:noWrap/>
            <w:vAlign w:val="bottom"/>
            <w:hideMark/>
          </w:tcPr>
          <w:p w:rsidR="00E1315A" w:rsidRPr="00E1315A" w:rsidRDefault="00E1315A" w:rsidP="00E1315A">
            <w:pPr>
              <w:spacing w:line="240" w:lineRule="auto"/>
              <w:jc w:val="left"/>
              <w:rPr>
                <w:color w:val="000000"/>
                <w:sz w:val="22"/>
                <w:szCs w:val="22"/>
                <w:lang w:val="en-IN" w:eastAsia="en-IN"/>
              </w:rPr>
            </w:pPr>
            <w:r w:rsidRPr="00E1315A">
              <w:rPr>
                <w:color w:val="000000"/>
                <w:sz w:val="22"/>
                <w:szCs w:val="22"/>
                <w:lang w:val="en-IN" w:eastAsia="en-IN"/>
              </w:rPr>
              <w:t>Add: Additions during the year/Capitalization</w:t>
            </w:r>
          </w:p>
        </w:tc>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E1315A" w:rsidRPr="00E1315A" w:rsidRDefault="00E1315A" w:rsidP="00E1315A">
            <w:pPr>
              <w:spacing w:line="240" w:lineRule="auto"/>
              <w:jc w:val="right"/>
              <w:rPr>
                <w:color w:val="000000"/>
                <w:sz w:val="22"/>
                <w:szCs w:val="22"/>
                <w:lang w:val="en-IN" w:eastAsia="en-IN"/>
              </w:rPr>
            </w:pPr>
            <w:r w:rsidRPr="00E1315A">
              <w:rPr>
                <w:color w:val="000000"/>
                <w:sz w:val="22"/>
                <w:szCs w:val="22"/>
                <w:lang w:val="en-IN" w:eastAsia="en-IN"/>
              </w:rPr>
              <w:t>71.55</w:t>
            </w:r>
          </w:p>
        </w:tc>
        <w:tc>
          <w:tcPr>
            <w:tcW w:w="1747" w:type="dxa"/>
            <w:tcBorders>
              <w:top w:val="nil"/>
              <w:left w:val="nil"/>
              <w:bottom w:val="single" w:sz="4" w:space="0" w:color="auto"/>
              <w:right w:val="single" w:sz="4" w:space="0" w:color="auto"/>
            </w:tcBorders>
            <w:shd w:val="clear" w:color="auto" w:fill="auto"/>
            <w:noWrap/>
            <w:vAlign w:val="bottom"/>
            <w:hideMark/>
          </w:tcPr>
          <w:p w:rsidR="00E1315A" w:rsidRPr="00E1315A" w:rsidRDefault="00E1315A" w:rsidP="00E1315A">
            <w:pPr>
              <w:spacing w:line="240" w:lineRule="auto"/>
              <w:jc w:val="right"/>
              <w:rPr>
                <w:color w:val="000000"/>
                <w:sz w:val="22"/>
                <w:szCs w:val="22"/>
                <w:lang w:val="en-IN" w:eastAsia="en-IN"/>
              </w:rPr>
            </w:pPr>
            <w:r w:rsidRPr="00E1315A">
              <w:rPr>
                <w:color w:val="000000"/>
                <w:sz w:val="22"/>
                <w:szCs w:val="22"/>
                <w:lang w:val="en-IN" w:eastAsia="en-IN"/>
              </w:rPr>
              <w:t>108.549</w:t>
            </w:r>
          </w:p>
        </w:tc>
        <w:tc>
          <w:tcPr>
            <w:tcW w:w="1747" w:type="dxa"/>
            <w:tcBorders>
              <w:top w:val="nil"/>
              <w:left w:val="nil"/>
              <w:bottom w:val="single" w:sz="4" w:space="0" w:color="auto"/>
              <w:right w:val="single" w:sz="4" w:space="0" w:color="auto"/>
            </w:tcBorders>
            <w:shd w:val="clear" w:color="auto" w:fill="auto"/>
            <w:noWrap/>
            <w:vAlign w:val="bottom"/>
            <w:hideMark/>
          </w:tcPr>
          <w:p w:rsidR="00E1315A" w:rsidRPr="00E1315A" w:rsidRDefault="00E1315A" w:rsidP="00E1315A">
            <w:pPr>
              <w:spacing w:line="240" w:lineRule="auto"/>
              <w:jc w:val="right"/>
              <w:rPr>
                <w:color w:val="000000"/>
                <w:sz w:val="22"/>
                <w:szCs w:val="22"/>
                <w:lang w:val="en-IN" w:eastAsia="en-IN"/>
              </w:rPr>
            </w:pPr>
            <w:r w:rsidRPr="00E1315A">
              <w:rPr>
                <w:color w:val="000000"/>
                <w:sz w:val="22"/>
                <w:szCs w:val="22"/>
                <w:lang w:val="en-IN" w:eastAsia="en-IN"/>
              </w:rPr>
              <w:t>284.094</w:t>
            </w:r>
          </w:p>
        </w:tc>
      </w:tr>
      <w:tr w:rsidR="00E1315A" w:rsidRPr="00E1315A" w:rsidTr="007C11BA">
        <w:trPr>
          <w:trHeight w:val="300"/>
          <w:jc w:val="center"/>
        </w:trPr>
        <w:tc>
          <w:tcPr>
            <w:tcW w:w="3392" w:type="dxa"/>
            <w:tcBorders>
              <w:top w:val="nil"/>
              <w:left w:val="single" w:sz="8" w:space="0" w:color="auto"/>
              <w:bottom w:val="single" w:sz="4" w:space="0" w:color="auto"/>
              <w:right w:val="single" w:sz="4" w:space="0" w:color="auto"/>
            </w:tcBorders>
            <w:shd w:val="clear" w:color="auto" w:fill="auto"/>
            <w:noWrap/>
            <w:vAlign w:val="bottom"/>
            <w:hideMark/>
          </w:tcPr>
          <w:p w:rsidR="00E1315A" w:rsidRPr="00E1315A" w:rsidRDefault="00E1315A" w:rsidP="00E1315A">
            <w:pPr>
              <w:spacing w:line="240" w:lineRule="auto"/>
              <w:jc w:val="left"/>
              <w:rPr>
                <w:color w:val="000000"/>
                <w:sz w:val="22"/>
                <w:szCs w:val="22"/>
                <w:lang w:val="en-IN" w:eastAsia="en-IN"/>
              </w:rPr>
            </w:pPr>
            <w:r w:rsidRPr="00E1315A">
              <w:rPr>
                <w:color w:val="000000"/>
                <w:sz w:val="22"/>
                <w:szCs w:val="22"/>
                <w:lang w:val="en-IN" w:eastAsia="en-IN"/>
              </w:rPr>
              <w:t>Closing GFA</w:t>
            </w:r>
          </w:p>
        </w:tc>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E1315A" w:rsidRPr="00E1315A" w:rsidRDefault="00E1315A" w:rsidP="00E1315A">
            <w:pPr>
              <w:spacing w:line="240" w:lineRule="auto"/>
              <w:jc w:val="right"/>
              <w:rPr>
                <w:color w:val="000000"/>
                <w:sz w:val="22"/>
                <w:szCs w:val="22"/>
                <w:lang w:val="en-IN" w:eastAsia="en-IN"/>
              </w:rPr>
            </w:pPr>
            <w:r w:rsidRPr="00E1315A">
              <w:rPr>
                <w:color w:val="000000"/>
                <w:sz w:val="22"/>
                <w:szCs w:val="22"/>
                <w:lang w:val="en-IN" w:eastAsia="en-IN"/>
              </w:rPr>
              <w:t>787.02</w:t>
            </w:r>
          </w:p>
        </w:tc>
        <w:tc>
          <w:tcPr>
            <w:tcW w:w="1747" w:type="dxa"/>
            <w:tcBorders>
              <w:top w:val="nil"/>
              <w:left w:val="nil"/>
              <w:bottom w:val="single" w:sz="4" w:space="0" w:color="auto"/>
              <w:right w:val="single" w:sz="4" w:space="0" w:color="auto"/>
            </w:tcBorders>
            <w:shd w:val="clear" w:color="auto" w:fill="auto"/>
            <w:noWrap/>
            <w:vAlign w:val="bottom"/>
            <w:hideMark/>
          </w:tcPr>
          <w:p w:rsidR="00E1315A" w:rsidRPr="00E1315A" w:rsidRDefault="00E1315A" w:rsidP="00E1315A">
            <w:pPr>
              <w:spacing w:line="240" w:lineRule="auto"/>
              <w:jc w:val="right"/>
              <w:rPr>
                <w:color w:val="000000"/>
                <w:sz w:val="22"/>
                <w:szCs w:val="22"/>
                <w:lang w:val="en-IN" w:eastAsia="en-IN"/>
              </w:rPr>
            </w:pPr>
            <w:r w:rsidRPr="00E1315A">
              <w:rPr>
                <w:color w:val="000000"/>
                <w:sz w:val="22"/>
                <w:szCs w:val="22"/>
                <w:lang w:val="en-IN" w:eastAsia="en-IN"/>
              </w:rPr>
              <w:t>895.57</w:t>
            </w:r>
          </w:p>
        </w:tc>
        <w:tc>
          <w:tcPr>
            <w:tcW w:w="1747" w:type="dxa"/>
            <w:tcBorders>
              <w:top w:val="nil"/>
              <w:left w:val="nil"/>
              <w:bottom w:val="single" w:sz="4" w:space="0" w:color="auto"/>
              <w:right w:val="single" w:sz="4" w:space="0" w:color="auto"/>
            </w:tcBorders>
            <w:shd w:val="clear" w:color="auto" w:fill="auto"/>
            <w:noWrap/>
            <w:vAlign w:val="bottom"/>
            <w:hideMark/>
          </w:tcPr>
          <w:p w:rsidR="00E1315A" w:rsidRPr="00E1315A" w:rsidRDefault="00E1315A" w:rsidP="00E1315A">
            <w:pPr>
              <w:spacing w:line="240" w:lineRule="auto"/>
              <w:jc w:val="right"/>
              <w:rPr>
                <w:color w:val="000000"/>
                <w:sz w:val="22"/>
                <w:szCs w:val="22"/>
                <w:lang w:val="en-IN" w:eastAsia="en-IN"/>
              </w:rPr>
            </w:pPr>
            <w:r w:rsidRPr="00E1315A">
              <w:rPr>
                <w:color w:val="000000"/>
                <w:sz w:val="22"/>
                <w:szCs w:val="22"/>
                <w:lang w:val="en-IN" w:eastAsia="en-IN"/>
              </w:rPr>
              <w:t>1179.66</w:t>
            </w:r>
          </w:p>
        </w:tc>
      </w:tr>
    </w:tbl>
    <w:p w:rsidR="00F2125D" w:rsidRDefault="00F2125D" w:rsidP="00EB5101">
      <w:pPr>
        <w:pStyle w:val="EDNormal"/>
      </w:pPr>
    </w:p>
    <w:p w:rsidR="00337C5E" w:rsidRDefault="00E165A4">
      <w:pPr>
        <w:pStyle w:val="ED-H2"/>
        <w:rPr>
          <w:b w:val="0"/>
          <w:lang w:val="en-GB"/>
        </w:rPr>
      </w:pPr>
      <w:bookmarkStart w:id="141" w:name="_Toc523724500"/>
      <w:r>
        <w:rPr>
          <w:lang w:val="en-GB"/>
        </w:rPr>
        <w:t>Business Plan for Retail Supply Business</w:t>
      </w:r>
      <w:bookmarkEnd w:id="141"/>
    </w:p>
    <w:p w:rsidR="00A8365B" w:rsidRDefault="00A8365B" w:rsidP="00A8365B">
      <w:pPr>
        <w:pStyle w:val="ED-H3"/>
      </w:pPr>
      <w:r>
        <w:t>Power Purchase Expenses:</w:t>
      </w:r>
    </w:p>
    <w:p w:rsidR="00A8365B" w:rsidRDefault="00A8365B" w:rsidP="00A8365B">
      <w:pPr>
        <w:pStyle w:val="ED-H3"/>
        <w:numPr>
          <w:ilvl w:val="0"/>
          <w:numId w:val="0"/>
        </w:numPr>
        <w:ind w:left="720"/>
      </w:pPr>
      <w:r>
        <w:t>All the power purchase expenses (100%) shall be incurred for the Distribution Supply Business. The power Purchase expenses for the control period are as under:</w:t>
      </w:r>
    </w:p>
    <w:p w:rsidR="008100D8" w:rsidRPr="008100D8" w:rsidRDefault="008100D8" w:rsidP="008100D8">
      <w:pPr>
        <w:pStyle w:val="EDNormal"/>
        <w:rPr>
          <w:lang w:val="en-IN" w:bidi="hi-IN"/>
        </w:rPr>
      </w:pPr>
    </w:p>
    <w:p w:rsidR="00A8365B" w:rsidRPr="00284B43" w:rsidRDefault="00A8365B" w:rsidP="00061AA6">
      <w:pPr>
        <w:pStyle w:val="Caption"/>
        <w:rPr>
          <w:sz w:val="20"/>
          <w:szCs w:val="20"/>
        </w:rPr>
      </w:pPr>
      <w:bookmarkStart w:id="142" w:name="_Toc523719590"/>
      <w:r w:rsidRPr="00E56CDF">
        <w:lastRenderedPageBreak/>
        <w:t xml:space="preserve">Table </w:t>
      </w:r>
      <w:r w:rsidR="00140E1B">
        <w:fldChar w:fldCharType="begin"/>
      </w:r>
      <w:r>
        <w:instrText xml:space="preserve"> SEQ Table \* ARABIC </w:instrText>
      </w:r>
      <w:r w:rsidR="00140E1B">
        <w:fldChar w:fldCharType="separate"/>
      </w:r>
      <w:r w:rsidR="004B7EE5">
        <w:rPr>
          <w:noProof/>
        </w:rPr>
        <w:t>31</w:t>
      </w:r>
      <w:r w:rsidR="00140E1B">
        <w:rPr>
          <w:noProof/>
        </w:rPr>
        <w:fldChar w:fldCharType="end"/>
      </w:r>
      <w:r w:rsidRPr="00E56CDF">
        <w:t xml:space="preserve">: </w:t>
      </w:r>
      <w:r>
        <w:t xml:space="preserve">Power Purchase Expensesfor the Distribution Supply Business </w:t>
      </w:r>
      <w:r w:rsidRPr="00E56CDF">
        <w:t>during the Control Period</w:t>
      </w:r>
      <w:r w:rsidRPr="00A8365B">
        <w:rPr>
          <w:sz w:val="20"/>
          <w:szCs w:val="20"/>
        </w:rPr>
        <w:t>(Rs. Cr)</w:t>
      </w:r>
      <w:bookmarkEnd w:id="1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3"/>
        <w:gridCol w:w="3082"/>
        <w:gridCol w:w="3080"/>
      </w:tblGrid>
      <w:tr w:rsidR="00CE7C1F" w:rsidRPr="00CE7C1F" w:rsidTr="00CE7C1F">
        <w:trPr>
          <w:trHeight w:val="20"/>
        </w:trPr>
        <w:tc>
          <w:tcPr>
            <w:tcW w:w="5000" w:type="pct"/>
            <w:gridSpan w:val="3"/>
            <w:shd w:val="clear" w:color="000000" w:fill="ACB9CA"/>
            <w:vAlign w:val="center"/>
            <w:hideMark/>
          </w:tcPr>
          <w:p w:rsidR="00CE7C1F" w:rsidRPr="00CE7C1F" w:rsidRDefault="00CE7C1F" w:rsidP="00A8365B">
            <w:pPr>
              <w:spacing w:line="240" w:lineRule="auto"/>
              <w:jc w:val="center"/>
              <w:rPr>
                <w:b/>
                <w:bCs/>
                <w:sz w:val="22"/>
                <w:szCs w:val="22"/>
                <w:lang w:val="en-IN" w:eastAsia="en-IN"/>
              </w:rPr>
            </w:pPr>
            <w:r w:rsidRPr="00CE7C1F">
              <w:rPr>
                <w:b/>
                <w:bCs/>
                <w:sz w:val="22"/>
                <w:szCs w:val="22"/>
                <w:lang w:val="en-IN" w:eastAsia="en-IN"/>
              </w:rPr>
              <w:t>Projections</w:t>
            </w:r>
          </w:p>
        </w:tc>
      </w:tr>
      <w:tr w:rsidR="00CE7C1F" w:rsidRPr="00CE7C1F" w:rsidTr="00CE7C1F">
        <w:trPr>
          <w:trHeight w:val="20"/>
        </w:trPr>
        <w:tc>
          <w:tcPr>
            <w:tcW w:w="1667" w:type="pct"/>
            <w:shd w:val="clear" w:color="000000" w:fill="ACB9CA"/>
            <w:vAlign w:val="center"/>
            <w:hideMark/>
          </w:tcPr>
          <w:p w:rsidR="00CE7C1F" w:rsidRPr="00CE7C1F" w:rsidRDefault="00CE7C1F" w:rsidP="00A8365B">
            <w:pPr>
              <w:spacing w:line="240" w:lineRule="auto"/>
              <w:jc w:val="center"/>
              <w:rPr>
                <w:b/>
                <w:bCs/>
                <w:sz w:val="22"/>
                <w:szCs w:val="22"/>
                <w:lang w:val="en-IN" w:eastAsia="en-IN"/>
              </w:rPr>
            </w:pPr>
            <w:r w:rsidRPr="00CE7C1F">
              <w:rPr>
                <w:b/>
                <w:bCs/>
                <w:sz w:val="22"/>
                <w:szCs w:val="22"/>
                <w:lang w:val="en-IN" w:eastAsia="en-IN"/>
              </w:rPr>
              <w:t>2019-20</w:t>
            </w:r>
          </w:p>
        </w:tc>
        <w:tc>
          <w:tcPr>
            <w:tcW w:w="1667" w:type="pct"/>
            <w:shd w:val="clear" w:color="000000" w:fill="ACB9CA"/>
            <w:vAlign w:val="center"/>
            <w:hideMark/>
          </w:tcPr>
          <w:p w:rsidR="00CE7C1F" w:rsidRPr="00CE7C1F" w:rsidRDefault="00CE7C1F" w:rsidP="00A8365B">
            <w:pPr>
              <w:spacing w:line="240" w:lineRule="auto"/>
              <w:jc w:val="center"/>
              <w:rPr>
                <w:b/>
                <w:bCs/>
                <w:sz w:val="22"/>
                <w:szCs w:val="22"/>
                <w:lang w:val="en-IN" w:eastAsia="en-IN"/>
              </w:rPr>
            </w:pPr>
            <w:r w:rsidRPr="00CE7C1F">
              <w:rPr>
                <w:b/>
                <w:bCs/>
                <w:sz w:val="22"/>
                <w:szCs w:val="22"/>
                <w:lang w:val="en-IN" w:eastAsia="en-IN"/>
              </w:rPr>
              <w:t>2020-21</w:t>
            </w:r>
          </w:p>
        </w:tc>
        <w:tc>
          <w:tcPr>
            <w:tcW w:w="1666" w:type="pct"/>
            <w:shd w:val="clear" w:color="000000" w:fill="ACB9CA"/>
            <w:vAlign w:val="center"/>
            <w:hideMark/>
          </w:tcPr>
          <w:p w:rsidR="00CE7C1F" w:rsidRPr="00CE7C1F" w:rsidRDefault="00CE7C1F" w:rsidP="00A8365B">
            <w:pPr>
              <w:spacing w:line="240" w:lineRule="auto"/>
              <w:jc w:val="center"/>
              <w:rPr>
                <w:b/>
                <w:bCs/>
                <w:sz w:val="22"/>
                <w:szCs w:val="22"/>
                <w:lang w:val="en-IN" w:eastAsia="en-IN"/>
              </w:rPr>
            </w:pPr>
            <w:r w:rsidRPr="00CE7C1F">
              <w:rPr>
                <w:b/>
                <w:bCs/>
                <w:sz w:val="22"/>
                <w:szCs w:val="22"/>
                <w:lang w:val="en-IN" w:eastAsia="en-IN"/>
              </w:rPr>
              <w:t>2021-22</w:t>
            </w:r>
          </w:p>
        </w:tc>
      </w:tr>
      <w:tr w:rsidR="00CE7C1F" w:rsidRPr="00CE7C1F" w:rsidTr="00CE7C1F">
        <w:trPr>
          <w:trHeight w:val="20"/>
        </w:trPr>
        <w:tc>
          <w:tcPr>
            <w:tcW w:w="1667" w:type="pct"/>
            <w:shd w:val="clear" w:color="auto" w:fill="auto"/>
            <w:vAlign w:val="center"/>
            <w:hideMark/>
          </w:tcPr>
          <w:p w:rsidR="00CE7C1F" w:rsidRPr="00CE7C1F" w:rsidRDefault="00CE7C1F" w:rsidP="00CE7C1F">
            <w:pPr>
              <w:spacing w:line="240" w:lineRule="auto"/>
              <w:jc w:val="center"/>
              <w:rPr>
                <w:b/>
                <w:bCs/>
                <w:sz w:val="22"/>
                <w:szCs w:val="22"/>
                <w:lang w:val="en-IN" w:eastAsia="en-IN"/>
              </w:rPr>
            </w:pPr>
            <w:r w:rsidRPr="00CE7C1F">
              <w:rPr>
                <w:b/>
                <w:bCs/>
                <w:sz w:val="22"/>
                <w:szCs w:val="22"/>
                <w:lang w:val="en-IN" w:eastAsia="en-IN"/>
              </w:rPr>
              <w:t>1,297.37</w:t>
            </w:r>
          </w:p>
        </w:tc>
        <w:tc>
          <w:tcPr>
            <w:tcW w:w="1667" w:type="pct"/>
            <w:shd w:val="clear" w:color="auto" w:fill="auto"/>
            <w:vAlign w:val="center"/>
            <w:hideMark/>
          </w:tcPr>
          <w:p w:rsidR="00CE7C1F" w:rsidRPr="00CE7C1F" w:rsidRDefault="00CE7C1F" w:rsidP="00CE7C1F">
            <w:pPr>
              <w:spacing w:line="240" w:lineRule="auto"/>
              <w:jc w:val="center"/>
              <w:rPr>
                <w:b/>
                <w:bCs/>
                <w:sz w:val="22"/>
                <w:szCs w:val="22"/>
                <w:lang w:val="en-IN" w:eastAsia="en-IN"/>
              </w:rPr>
            </w:pPr>
            <w:r w:rsidRPr="00CE7C1F">
              <w:rPr>
                <w:b/>
                <w:bCs/>
                <w:sz w:val="22"/>
                <w:szCs w:val="22"/>
                <w:lang w:val="en-IN" w:eastAsia="en-IN"/>
              </w:rPr>
              <w:t>1,394.07</w:t>
            </w:r>
          </w:p>
        </w:tc>
        <w:tc>
          <w:tcPr>
            <w:tcW w:w="1666" w:type="pct"/>
            <w:shd w:val="clear" w:color="auto" w:fill="auto"/>
            <w:vAlign w:val="center"/>
            <w:hideMark/>
          </w:tcPr>
          <w:p w:rsidR="00CE7C1F" w:rsidRPr="00CE7C1F" w:rsidRDefault="00CE7C1F" w:rsidP="00CE7C1F">
            <w:pPr>
              <w:spacing w:line="240" w:lineRule="auto"/>
              <w:jc w:val="center"/>
              <w:rPr>
                <w:b/>
                <w:bCs/>
                <w:sz w:val="22"/>
                <w:szCs w:val="22"/>
                <w:lang w:val="en-IN" w:eastAsia="en-IN"/>
              </w:rPr>
            </w:pPr>
            <w:r w:rsidRPr="00CE7C1F">
              <w:rPr>
                <w:b/>
                <w:bCs/>
                <w:sz w:val="22"/>
                <w:szCs w:val="22"/>
                <w:lang w:val="en-IN" w:eastAsia="en-IN"/>
              </w:rPr>
              <w:t>1,479.99</w:t>
            </w:r>
          </w:p>
        </w:tc>
      </w:tr>
    </w:tbl>
    <w:p w:rsidR="001974F1" w:rsidRDefault="001974F1" w:rsidP="001974F1">
      <w:pPr>
        <w:pStyle w:val="ED-H3"/>
        <w:numPr>
          <w:ilvl w:val="0"/>
          <w:numId w:val="0"/>
        </w:numPr>
        <w:ind w:left="720"/>
      </w:pPr>
    </w:p>
    <w:p w:rsidR="00A8365B" w:rsidRDefault="00A8365B" w:rsidP="00A8365B">
      <w:pPr>
        <w:pStyle w:val="ED-H3"/>
      </w:pPr>
      <w:r>
        <w:t>Capital Expenditure, Capital Cost:</w:t>
      </w:r>
    </w:p>
    <w:p w:rsidR="00A8365B" w:rsidRDefault="00A8365B" w:rsidP="00A8365B">
      <w:pPr>
        <w:pStyle w:val="ED-H3"/>
        <w:numPr>
          <w:ilvl w:val="0"/>
          <w:numId w:val="0"/>
        </w:numPr>
        <w:ind w:left="720"/>
      </w:pPr>
      <w:r>
        <w:t>10% of the Capital cost, depreciation shall be for the Distribution Wire Business. Accordingly, t</w:t>
      </w:r>
      <w:r w:rsidRPr="00855CFA">
        <w:t xml:space="preserve">he following table shows the </w:t>
      </w:r>
      <w:r>
        <w:t>project Capital Expenditure and Capitalization during the Control Period</w:t>
      </w:r>
    </w:p>
    <w:p w:rsidR="00247690" w:rsidRPr="00247690" w:rsidRDefault="00247690" w:rsidP="00247690">
      <w:pPr>
        <w:pStyle w:val="EDNormal"/>
        <w:rPr>
          <w:lang w:val="en-IN" w:bidi="hi-IN"/>
        </w:rPr>
      </w:pPr>
    </w:p>
    <w:p w:rsidR="00A8365B" w:rsidRPr="00284B43" w:rsidRDefault="00A8365B" w:rsidP="00061AA6">
      <w:pPr>
        <w:pStyle w:val="Caption"/>
        <w:rPr>
          <w:sz w:val="20"/>
          <w:szCs w:val="20"/>
        </w:rPr>
      </w:pPr>
      <w:bookmarkStart w:id="143" w:name="_Toc523719591"/>
      <w:r w:rsidRPr="00E56CDF">
        <w:t xml:space="preserve">Table </w:t>
      </w:r>
      <w:r w:rsidR="00140E1B">
        <w:fldChar w:fldCharType="begin"/>
      </w:r>
      <w:r>
        <w:instrText xml:space="preserve"> SEQ Table \* ARABIC </w:instrText>
      </w:r>
      <w:r w:rsidR="00140E1B">
        <w:fldChar w:fldCharType="separate"/>
      </w:r>
      <w:r w:rsidR="004B7EE5">
        <w:rPr>
          <w:noProof/>
        </w:rPr>
        <w:t>32</w:t>
      </w:r>
      <w:r w:rsidR="00140E1B">
        <w:rPr>
          <w:noProof/>
        </w:rPr>
        <w:fldChar w:fldCharType="end"/>
      </w:r>
      <w:r w:rsidRPr="00E56CDF">
        <w:t xml:space="preserve">: </w:t>
      </w:r>
      <w:r>
        <w:t xml:space="preserve">Proposed Capital Expenditurefor the Distribution Supply Business </w:t>
      </w:r>
      <w:r w:rsidRPr="00E56CDF">
        <w:t>during the Control Period</w:t>
      </w:r>
      <w:r w:rsidRPr="00284B43">
        <w:rPr>
          <w:sz w:val="20"/>
          <w:szCs w:val="20"/>
        </w:rPr>
        <w:t>(</w:t>
      </w:r>
      <w:r w:rsidRPr="003472E1">
        <w:rPr>
          <w:sz w:val="20"/>
          <w:szCs w:val="20"/>
        </w:rPr>
        <w:t>Rs. Cr</w:t>
      </w:r>
      <w:r w:rsidRPr="00284B43">
        <w:rPr>
          <w:sz w:val="20"/>
          <w:szCs w:val="20"/>
        </w:rPr>
        <w:t>)</w:t>
      </w:r>
      <w:bookmarkEnd w:id="1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1"/>
        <w:gridCol w:w="3086"/>
        <w:gridCol w:w="3088"/>
      </w:tblGrid>
      <w:tr w:rsidR="00A8365B" w:rsidRPr="00E1315A" w:rsidTr="00E056DB">
        <w:trPr>
          <w:trHeight w:val="315"/>
        </w:trPr>
        <w:tc>
          <w:tcPr>
            <w:tcW w:w="5000" w:type="pct"/>
            <w:gridSpan w:val="3"/>
            <w:shd w:val="clear" w:color="000000" w:fill="44546A"/>
            <w:noWrap/>
            <w:vAlign w:val="bottom"/>
            <w:hideMark/>
          </w:tcPr>
          <w:p w:rsidR="00A8365B" w:rsidRPr="00E1315A" w:rsidRDefault="00A8365B" w:rsidP="00E056DB">
            <w:pPr>
              <w:spacing w:line="240" w:lineRule="auto"/>
              <w:jc w:val="center"/>
              <w:rPr>
                <w:b/>
                <w:bCs/>
                <w:color w:val="FFFFFF"/>
                <w:sz w:val="22"/>
                <w:szCs w:val="22"/>
                <w:lang w:val="en-IN" w:eastAsia="en-IN"/>
              </w:rPr>
            </w:pPr>
            <w:r w:rsidRPr="00E1315A">
              <w:rPr>
                <w:b/>
                <w:bCs/>
                <w:color w:val="FFFFFF"/>
                <w:sz w:val="22"/>
                <w:szCs w:val="22"/>
                <w:lang w:val="en-IN" w:eastAsia="en-IN"/>
              </w:rPr>
              <w:t>Projections</w:t>
            </w:r>
          </w:p>
        </w:tc>
      </w:tr>
      <w:tr w:rsidR="00A8365B" w:rsidRPr="00E1315A" w:rsidTr="00E056DB">
        <w:trPr>
          <w:trHeight w:val="300"/>
        </w:trPr>
        <w:tc>
          <w:tcPr>
            <w:tcW w:w="1661" w:type="pct"/>
            <w:shd w:val="clear" w:color="000000" w:fill="ACB9CA"/>
            <w:noWrap/>
            <w:vAlign w:val="center"/>
            <w:hideMark/>
          </w:tcPr>
          <w:p w:rsidR="00A8365B" w:rsidRPr="00E1315A" w:rsidRDefault="00A8365B" w:rsidP="00E056DB">
            <w:pPr>
              <w:spacing w:line="240" w:lineRule="auto"/>
              <w:jc w:val="center"/>
              <w:rPr>
                <w:b/>
                <w:bCs/>
                <w:color w:val="000000"/>
                <w:sz w:val="22"/>
                <w:szCs w:val="22"/>
                <w:lang w:val="en-IN" w:eastAsia="en-IN"/>
              </w:rPr>
            </w:pPr>
            <w:r w:rsidRPr="00E1315A">
              <w:rPr>
                <w:b/>
                <w:bCs/>
                <w:color w:val="000000"/>
                <w:sz w:val="22"/>
                <w:szCs w:val="22"/>
                <w:lang w:val="en-IN" w:eastAsia="en-IN"/>
              </w:rPr>
              <w:t>FY 2019-20</w:t>
            </w:r>
          </w:p>
        </w:tc>
        <w:tc>
          <w:tcPr>
            <w:tcW w:w="1669" w:type="pct"/>
            <w:shd w:val="clear" w:color="000000" w:fill="ACB9CA"/>
            <w:noWrap/>
            <w:vAlign w:val="bottom"/>
            <w:hideMark/>
          </w:tcPr>
          <w:p w:rsidR="00A8365B" w:rsidRPr="00E1315A" w:rsidRDefault="00A8365B" w:rsidP="00E056DB">
            <w:pPr>
              <w:spacing w:line="240" w:lineRule="auto"/>
              <w:jc w:val="center"/>
              <w:rPr>
                <w:b/>
                <w:bCs/>
                <w:color w:val="000000"/>
                <w:sz w:val="22"/>
                <w:szCs w:val="22"/>
                <w:lang w:val="en-IN" w:eastAsia="en-IN"/>
              </w:rPr>
            </w:pPr>
            <w:r w:rsidRPr="00E1315A">
              <w:rPr>
                <w:b/>
                <w:bCs/>
                <w:color w:val="000000"/>
                <w:sz w:val="22"/>
                <w:szCs w:val="22"/>
                <w:lang w:val="en-IN" w:eastAsia="en-IN"/>
              </w:rPr>
              <w:t>FY 2020-21</w:t>
            </w:r>
          </w:p>
        </w:tc>
        <w:tc>
          <w:tcPr>
            <w:tcW w:w="1670" w:type="pct"/>
            <w:shd w:val="clear" w:color="000000" w:fill="ACB9CA"/>
            <w:noWrap/>
            <w:vAlign w:val="center"/>
            <w:hideMark/>
          </w:tcPr>
          <w:p w:rsidR="00A8365B" w:rsidRPr="00E1315A" w:rsidRDefault="00A8365B" w:rsidP="00E056DB">
            <w:pPr>
              <w:spacing w:line="240" w:lineRule="auto"/>
              <w:jc w:val="center"/>
              <w:rPr>
                <w:b/>
                <w:bCs/>
                <w:color w:val="000000"/>
                <w:sz w:val="22"/>
                <w:szCs w:val="22"/>
                <w:lang w:val="en-IN" w:eastAsia="en-IN"/>
              </w:rPr>
            </w:pPr>
            <w:r w:rsidRPr="00E1315A">
              <w:rPr>
                <w:b/>
                <w:bCs/>
                <w:color w:val="000000"/>
                <w:sz w:val="22"/>
                <w:szCs w:val="22"/>
                <w:lang w:val="en-IN" w:eastAsia="en-IN"/>
              </w:rPr>
              <w:t>FY 2021-22</w:t>
            </w:r>
          </w:p>
        </w:tc>
      </w:tr>
      <w:tr w:rsidR="00A8365B" w:rsidRPr="00E1315A" w:rsidTr="00E056DB">
        <w:trPr>
          <w:trHeight w:val="300"/>
        </w:trPr>
        <w:tc>
          <w:tcPr>
            <w:tcW w:w="1661" w:type="pct"/>
            <w:shd w:val="clear" w:color="auto" w:fill="auto"/>
            <w:noWrap/>
            <w:vAlign w:val="bottom"/>
            <w:hideMark/>
          </w:tcPr>
          <w:p w:rsidR="00A8365B" w:rsidRDefault="00A8365B" w:rsidP="00A8365B">
            <w:pPr>
              <w:spacing w:line="240" w:lineRule="auto"/>
              <w:jc w:val="center"/>
              <w:rPr>
                <w:color w:val="000000"/>
                <w:sz w:val="22"/>
                <w:szCs w:val="22"/>
                <w:lang w:val="en-IN"/>
              </w:rPr>
            </w:pPr>
            <w:r>
              <w:rPr>
                <w:color w:val="000000"/>
                <w:sz w:val="22"/>
                <w:szCs w:val="22"/>
              </w:rPr>
              <w:t>18.05</w:t>
            </w:r>
          </w:p>
        </w:tc>
        <w:tc>
          <w:tcPr>
            <w:tcW w:w="1669" w:type="pct"/>
            <w:shd w:val="clear" w:color="auto" w:fill="auto"/>
            <w:noWrap/>
            <w:vAlign w:val="bottom"/>
            <w:hideMark/>
          </w:tcPr>
          <w:p w:rsidR="00A8365B" w:rsidRDefault="00A8365B" w:rsidP="00A8365B">
            <w:pPr>
              <w:jc w:val="center"/>
              <w:rPr>
                <w:color w:val="000000"/>
                <w:sz w:val="22"/>
                <w:szCs w:val="22"/>
              </w:rPr>
            </w:pPr>
            <w:r>
              <w:rPr>
                <w:color w:val="000000"/>
                <w:sz w:val="22"/>
                <w:szCs w:val="22"/>
              </w:rPr>
              <w:t>28.53</w:t>
            </w:r>
          </w:p>
        </w:tc>
        <w:tc>
          <w:tcPr>
            <w:tcW w:w="1670" w:type="pct"/>
            <w:shd w:val="clear" w:color="auto" w:fill="auto"/>
            <w:noWrap/>
            <w:vAlign w:val="bottom"/>
            <w:hideMark/>
          </w:tcPr>
          <w:p w:rsidR="00A8365B" w:rsidRDefault="00A8365B" w:rsidP="00A8365B">
            <w:pPr>
              <w:jc w:val="center"/>
              <w:rPr>
                <w:color w:val="000000"/>
                <w:sz w:val="22"/>
                <w:szCs w:val="22"/>
              </w:rPr>
            </w:pPr>
            <w:r>
              <w:rPr>
                <w:color w:val="000000"/>
                <w:sz w:val="22"/>
                <w:szCs w:val="22"/>
              </w:rPr>
              <w:t>29.49</w:t>
            </w:r>
          </w:p>
        </w:tc>
      </w:tr>
    </w:tbl>
    <w:p w:rsidR="00A8365B" w:rsidRDefault="00A8365B" w:rsidP="00061AA6">
      <w:pPr>
        <w:pStyle w:val="Caption"/>
      </w:pPr>
    </w:p>
    <w:p w:rsidR="00A8365B" w:rsidRDefault="00A8365B" w:rsidP="00061AA6">
      <w:pPr>
        <w:pStyle w:val="Caption"/>
      </w:pPr>
    </w:p>
    <w:p w:rsidR="00A8365B" w:rsidRPr="00E56CDF" w:rsidRDefault="00A8365B" w:rsidP="00061AA6">
      <w:pPr>
        <w:pStyle w:val="Caption"/>
      </w:pPr>
      <w:bookmarkStart w:id="144" w:name="_Toc523719592"/>
      <w:r w:rsidRPr="00E56CDF">
        <w:t xml:space="preserve">Table </w:t>
      </w:r>
      <w:r w:rsidR="00140E1B">
        <w:fldChar w:fldCharType="begin"/>
      </w:r>
      <w:r>
        <w:instrText xml:space="preserve"> SEQ Table \* ARABIC </w:instrText>
      </w:r>
      <w:r w:rsidR="00140E1B">
        <w:fldChar w:fldCharType="separate"/>
      </w:r>
      <w:r w:rsidR="004B7EE5">
        <w:rPr>
          <w:noProof/>
        </w:rPr>
        <w:t>33</w:t>
      </w:r>
      <w:r w:rsidR="00140E1B">
        <w:rPr>
          <w:noProof/>
        </w:rPr>
        <w:fldChar w:fldCharType="end"/>
      </w:r>
      <w:r w:rsidRPr="00E56CDF">
        <w:t xml:space="preserve">: Proposed GFA </w:t>
      </w:r>
      <w:r>
        <w:t xml:space="preserve">for the Distribution Supply Business </w:t>
      </w:r>
      <w:r w:rsidRPr="00E56CDF">
        <w:t>during the Control Period</w:t>
      </w:r>
      <w:bookmarkEnd w:id="144"/>
    </w:p>
    <w:p w:rsidR="00A8365B" w:rsidRPr="00284B43" w:rsidRDefault="00A8365B" w:rsidP="00A8365B">
      <w:pPr>
        <w:ind w:left="5760" w:firstLine="720"/>
        <w:rPr>
          <w:sz w:val="20"/>
          <w:szCs w:val="20"/>
        </w:rPr>
      </w:pPr>
      <w:r w:rsidRPr="00284B43">
        <w:rPr>
          <w:sz w:val="20"/>
          <w:szCs w:val="20"/>
        </w:rPr>
        <w:t>(</w:t>
      </w:r>
      <w:r w:rsidRPr="003472E1">
        <w:rPr>
          <w:b/>
          <w:sz w:val="20"/>
          <w:szCs w:val="20"/>
        </w:rPr>
        <w:t>Rs. Cr</w:t>
      </w:r>
      <w:r w:rsidRPr="00284B43">
        <w:rPr>
          <w:sz w:val="20"/>
          <w:szCs w:val="20"/>
        </w:rPr>
        <w:t>)</w:t>
      </w:r>
    </w:p>
    <w:tbl>
      <w:tblPr>
        <w:tblW w:w="8633" w:type="dxa"/>
        <w:jc w:val="center"/>
        <w:tblLook w:val="04A0"/>
      </w:tblPr>
      <w:tblGrid>
        <w:gridCol w:w="3392"/>
        <w:gridCol w:w="1747"/>
        <w:gridCol w:w="1747"/>
        <w:gridCol w:w="1747"/>
      </w:tblGrid>
      <w:tr w:rsidR="00A8365B" w:rsidRPr="00E1315A" w:rsidTr="007C11BA">
        <w:trPr>
          <w:trHeight w:val="300"/>
          <w:jc w:val="center"/>
        </w:trPr>
        <w:tc>
          <w:tcPr>
            <w:tcW w:w="3392" w:type="dxa"/>
            <w:tcBorders>
              <w:top w:val="single" w:sz="8" w:space="0" w:color="auto"/>
              <w:left w:val="single" w:sz="8" w:space="0" w:color="auto"/>
              <w:bottom w:val="single" w:sz="4" w:space="0" w:color="auto"/>
              <w:right w:val="single" w:sz="4" w:space="0" w:color="auto"/>
            </w:tcBorders>
            <w:shd w:val="clear" w:color="000000" w:fill="ACB9CA"/>
            <w:noWrap/>
            <w:vAlign w:val="bottom"/>
            <w:hideMark/>
          </w:tcPr>
          <w:p w:rsidR="00A8365B" w:rsidRPr="00E1315A" w:rsidRDefault="00A8365B" w:rsidP="00E056DB">
            <w:pPr>
              <w:spacing w:line="240" w:lineRule="auto"/>
              <w:jc w:val="left"/>
              <w:rPr>
                <w:color w:val="000000"/>
                <w:sz w:val="22"/>
                <w:szCs w:val="22"/>
                <w:lang w:val="en-IN" w:eastAsia="en-IN"/>
              </w:rPr>
            </w:pPr>
            <w:r w:rsidRPr="00E1315A">
              <w:rPr>
                <w:color w:val="000000"/>
                <w:sz w:val="22"/>
                <w:szCs w:val="22"/>
                <w:lang w:val="en-IN" w:eastAsia="en-IN"/>
              </w:rPr>
              <w:t> </w:t>
            </w:r>
          </w:p>
        </w:tc>
        <w:tc>
          <w:tcPr>
            <w:tcW w:w="5241" w:type="dxa"/>
            <w:gridSpan w:val="3"/>
            <w:tcBorders>
              <w:top w:val="single" w:sz="4" w:space="0" w:color="auto"/>
              <w:left w:val="single" w:sz="4" w:space="0" w:color="auto"/>
              <w:bottom w:val="single" w:sz="4" w:space="0" w:color="auto"/>
              <w:right w:val="single" w:sz="4" w:space="0" w:color="auto"/>
            </w:tcBorders>
            <w:shd w:val="clear" w:color="000000" w:fill="ACB9CA"/>
            <w:noWrap/>
            <w:vAlign w:val="center"/>
            <w:hideMark/>
          </w:tcPr>
          <w:p w:rsidR="00A8365B" w:rsidRPr="00E1315A" w:rsidRDefault="00A8365B" w:rsidP="00E056DB">
            <w:pPr>
              <w:spacing w:line="240" w:lineRule="auto"/>
              <w:jc w:val="center"/>
              <w:rPr>
                <w:b/>
                <w:bCs/>
                <w:color w:val="000000"/>
                <w:sz w:val="22"/>
                <w:szCs w:val="22"/>
                <w:lang w:val="en-IN" w:eastAsia="en-IN"/>
              </w:rPr>
            </w:pPr>
            <w:r w:rsidRPr="00E1315A">
              <w:rPr>
                <w:b/>
                <w:bCs/>
                <w:color w:val="000000"/>
                <w:sz w:val="22"/>
                <w:szCs w:val="22"/>
                <w:lang w:val="en-IN" w:eastAsia="en-IN"/>
              </w:rPr>
              <w:t>Projections</w:t>
            </w:r>
          </w:p>
        </w:tc>
      </w:tr>
      <w:tr w:rsidR="00A8365B" w:rsidRPr="00E1315A" w:rsidTr="007C11BA">
        <w:trPr>
          <w:trHeight w:val="375"/>
          <w:jc w:val="center"/>
        </w:trPr>
        <w:tc>
          <w:tcPr>
            <w:tcW w:w="3392" w:type="dxa"/>
            <w:tcBorders>
              <w:top w:val="nil"/>
              <w:left w:val="single" w:sz="8" w:space="0" w:color="auto"/>
              <w:bottom w:val="single" w:sz="4" w:space="0" w:color="auto"/>
              <w:right w:val="single" w:sz="4" w:space="0" w:color="auto"/>
            </w:tcBorders>
            <w:shd w:val="clear" w:color="000000" w:fill="ACB9CA"/>
            <w:vAlign w:val="center"/>
            <w:hideMark/>
          </w:tcPr>
          <w:p w:rsidR="00A8365B" w:rsidRPr="00E1315A" w:rsidRDefault="00A8365B" w:rsidP="00E056DB">
            <w:pPr>
              <w:spacing w:line="240" w:lineRule="auto"/>
              <w:jc w:val="center"/>
              <w:rPr>
                <w:b/>
                <w:bCs/>
                <w:sz w:val="20"/>
                <w:szCs w:val="20"/>
                <w:lang w:val="en-IN" w:eastAsia="en-IN"/>
              </w:rPr>
            </w:pPr>
            <w:r w:rsidRPr="00E1315A">
              <w:rPr>
                <w:b/>
                <w:bCs/>
                <w:sz w:val="20"/>
                <w:szCs w:val="20"/>
                <w:lang w:val="en-IN" w:eastAsia="en-IN"/>
              </w:rPr>
              <w:t>Particulars*</w:t>
            </w:r>
          </w:p>
        </w:tc>
        <w:tc>
          <w:tcPr>
            <w:tcW w:w="1747" w:type="dxa"/>
            <w:tcBorders>
              <w:top w:val="nil"/>
              <w:left w:val="single" w:sz="4" w:space="0" w:color="auto"/>
              <w:bottom w:val="single" w:sz="4" w:space="0" w:color="auto"/>
              <w:right w:val="single" w:sz="4" w:space="0" w:color="auto"/>
            </w:tcBorders>
            <w:shd w:val="clear" w:color="000000" w:fill="ACB9CA"/>
            <w:noWrap/>
            <w:vAlign w:val="center"/>
            <w:hideMark/>
          </w:tcPr>
          <w:p w:rsidR="00A8365B" w:rsidRPr="00E1315A" w:rsidRDefault="00A8365B" w:rsidP="00E056DB">
            <w:pPr>
              <w:spacing w:line="240" w:lineRule="auto"/>
              <w:jc w:val="center"/>
              <w:rPr>
                <w:b/>
                <w:bCs/>
                <w:color w:val="000000"/>
                <w:sz w:val="22"/>
                <w:szCs w:val="22"/>
                <w:lang w:val="en-IN" w:eastAsia="en-IN"/>
              </w:rPr>
            </w:pPr>
            <w:r w:rsidRPr="00E1315A">
              <w:rPr>
                <w:b/>
                <w:bCs/>
                <w:color w:val="000000"/>
                <w:sz w:val="22"/>
                <w:szCs w:val="22"/>
                <w:lang w:val="en-IN" w:eastAsia="en-IN"/>
              </w:rPr>
              <w:t>FY 2019-20</w:t>
            </w:r>
          </w:p>
        </w:tc>
        <w:tc>
          <w:tcPr>
            <w:tcW w:w="1747" w:type="dxa"/>
            <w:tcBorders>
              <w:top w:val="nil"/>
              <w:left w:val="nil"/>
              <w:bottom w:val="single" w:sz="4" w:space="0" w:color="auto"/>
              <w:right w:val="single" w:sz="4" w:space="0" w:color="auto"/>
            </w:tcBorders>
            <w:shd w:val="clear" w:color="000000" w:fill="ACB9CA"/>
            <w:noWrap/>
            <w:vAlign w:val="center"/>
            <w:hideMark/>
          </w:tcPr>
          <w:p w:rsidR="00A8365B" w:rsidRPr="00E1315A" w:rsidRDefault="00A8365B" w:rsidP="00E056DB">
            <w:pPr>
              <w:spacing w:line="240" w:lineRule="auto"/>
              <w:jc w:val="center"/>
              <w:rPr>
                <w:b/>
                <w:bCs/>
                <w:color w:val="000000"/>
                <w:sz w:val="22"/>
                <w:szCs w:val="22"/>
                <w:lang w:val="en-IN" w:eastAsia="en-IN"/>
              </w:rPr>
            </w:pPr>
            <w:r w:rsidRPr="00E1315A">
              <w:rPr>
                <w:b/>
                <w:bCs/>
                <w:color w:val="000000"/>
                <w:sz w:val="22"/>
                <w:szCs w:val="22"/>
                <w:lang w:val="en-IN" w:eastAsia="en-IN"/>
              </w:rPr>
              <w:t>FY 2020-21</w:t>
            </w:r>
          </w:p>
        </w:tc>
        <w:tc>
          <w:tcPr>
            <w:tcW w:w="1747" w:type="dxa"/>
            <w:tcBorders>
              <w:top w:val="nil"/>
              <w:left w:val="nil"/>
              <w:bottom w:val="single" w:sz="4" w:space="0" w:color="auto"/>
              <w:right w:val="single" w:sz="4" w:space="0" w:color="auto"/>
            </w:tcBorders>
            <w:shd w:val="clear" w:color="000000" w:fill="ACB9CA"/>
            <w:noWrap/>
            <w:vAlign w:val="center"/>
            <w:hideMark/>
          </w:tcPr>
          <w:p w:rsidR="00A8365B" w:rsidRPr="00E1315A" w:rsidRDefault="00A8365B" w:rsidP="00E056DB">
            <w:pPr>
              <w:spacing w:line="240" w:lineRule="auto"/>
              <w:jc w:val="center"/>
              <w:rPr>
                <w:b/>
                <w:bCs/>
                <w:color w:val="000000"/>
                <w:sz w:val="22"/>
                <w:szCs w:val="22"/>
                <w:lang w:val="en-IN" w:eastAsia="en-IN"/>
              </w:rPr>
            </w:pPr>
            <w:r w:rsidRPr="00E1315A">
              <w:rPr>
                <w:b/>
                <w:bCs/>
                <w:color w:val="000000"/>
                <w:sz w:val="22"/>
                <w:szCs w:val="22"/>
                <w:lang w:val="en-IN" w:eastAsia="en-IN"/>
              </w:rPr>
              <w:t>FY 2021-22</w:t>
            </w:r>
          </w:p>
        </w:tc>
      </w:tr>
      <w:tr w:rsidR="00A8365B" w:rsidRPr="00E1315A" w:rsidTr="007C11BA">
        <w:trPr>
          <w:trHeight w:val="300"/>
          <w:jc w:val="center"/>
        </w:trPr>
        <w:tc>
          <w:tcPr>
            <w:tcW w:w="3392" w:type="dxa"/>
            <w:tcBorders>
              <w:top w:val="nil"/>
              <w:left w:val="single" w:sz="8" w:space="0" w:color="auto"/>
              <w:bottom w:val="single" w:sz="4" w:space="0" w:color="auto"/>
              <w:right w:val="single" w:sz="4" w:space="0" w:color="auto"/>
            </w:tcBorders>
            <w:shd w:val="clear" w:color="auto" w:fill="auto"/>
            <w:noWrap/>
            <w:vAlign w:val="bottom"/>
            <w:hideMark/>
          </w:tcPr>
          <w:p w:rsidR="00A8365B" w:rsidRPr="00E1315A" w:rsidRDefault="00A8365B" w:rsidP="00A8365B">
            <w:pPr>
              <w:spacing w:line="240" w:lineRule="auto"/>
              <w:jc w:val="left"/>
              <w:rPr>
                <w:color w:val="000000"/>
                <w:sz w:val="22"/>
                <w:szCs w:val="22"/>
                <w:lang w:val="en-IN" w:eastAsia="en-IN"/>
              </w:rPr>
            </w:pPr>
            <w:r w:rsidRPr="00E1315A">
              <w:rPr>
                <w:color w:val="000000"/>
                <w:sz w:val="22"/>
                <w:szCs w:val="22"/>
                <w:lang w:val="en-IN" w:eastAsia="en-IN"/>
              </w:rPr>
              <w:t>GFA at the beginning of the year</w:t>
            </w:r>
          </w:p>
        </w:tc>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A8365B" w:rsidRDefault="00A8365B" w:rsidP="00A8365B">
            <w:pPr>
              <w:spacing w:line="240" w:lineRule="auto"/>
              <w:jc w:val="right"/>
              <w:rPr>
                <w:color w:val="000000"/>
                <w:sz w:val="22"/>
                <w:szCs w:val="22"/>
                <w:lang w:val="en-IN"/>
              </w:rPr>
            </w:pPr>
            <w:r>
              <w:rPr>
                <w:color w:val="000000"/>
                <w:sz w:val="22"/>
                <w:szCs w:val="22"/>
              </w:rPr>
              <w:t>79.50</w:t>
            </w:r>
          </w:p>
        </w:tc>
        <w:tc>
          <w:tcPr>
            <w:tcW w:w="1747" w:type="dxa"/>
            <w:tcBorders>
              <w:top w:val="nil"/>
              <w:left w:val="nil"/>
              <w:bottom w:val="single" w:sz="4" w:space="0" w:color="auto"/>
              <w:right w:val="single" w:sz="4" w:space="0" w:color="auto"/>
            </w:tcBorders>
            <w:shd w:val="clear" w:color="auto" w:fill="auto"/>
            <w:noWrap/>
            <w:vAlign w:val="bottom"/>
            <w:hideMark/>
          </w:tcPr>
          <w:p w:rsidR="00A8365B" w:rsidRDefault="00A8365B" w:rsidP="00A8365B">
            <w:pPr>
              <w:jc w:val="right"/>
              <w:rPr>
                <w:color w:val="000000"/>
                <w:sz w:val="22"/>
                <w:szCs w:val="22"/>
              </w:rPr>
            </w:pPr>
            <w:r>
              <w:rPr>
                <w:color w:val="000000"/>
                <w:sz w:val="22"/>
                <w:szCs w:val="22"/>
              </w:rPr>
              <w:t>87.45</w:t>
            </w:r>
          </w:p>
        </w:tc>
        <w:tc>
          <w:tcPr>
            <w:tcW w:w="1747" w:type="dxa"/>
            <w:tcBorders>
              <w:top w:val="nil"/>
              <w:left w:val="nil"/>
              <w:bottom w:val="single" w:sz="4" w:space="0" w:color="auto"/>
              <w:right w:val="single" w:sz="4" w:space="0" w:color="auto"/>
            </w:tcBorders>
            <w:shd w:val="clear" w:color="auto" w:fill="auto"/>
            <w:noWrap/>
            <w:vAlign w:val="bottom"/>
            <w:hideMark/>
          </w:tcPr>
          <w:p w:rsidR="00A8365B" w:rsidRDefault="00A8365B" w:rsidP="00A8365B">
            <w:pPr>
              <w:jc w:val="right"/>
              <w:rPr>
                <w:color w:val="000000"/>
                <w:sz w:val="22"/>
                <w:szCs w:val="22"/>
              </w:rPr>
            </w:pPr>
            <w:r>
              <w:rPr>
                <w:color w:val="000000"/>
                <w:sz w:val="22"/>
                <w:szCs w:val="22"/>
              </w:rPr>
              <w:t>99.51</w:t>
            </w:r>
          </w:p>
        </w:tc>
      </w:tr>
      <w:tr w:rsidR="00A8365B" w:rsidRPr="00E1315A" w:rsidTr="007C11BA">
        <w:trPr>
          <w:trHeight w:val="300"/>
          <w:jc w:val="center"/>
        </w:trPr>
        <w:tc>
          <w:tcPr>
            <w:tcW w:w="3392" w:type="dxa"/>
            <w:tcBorders>
              <w:top w:val="nil"/>
              <w:left w:val="single" w:sz="8" w:space="0" w:color="auto"/>
              <w:bottom w:val="single" w:sz="4" w:space="0" w:color="auto"/>
              <w:right w:val="single" w:sz="4" w:space="0" w:color="auto"/>
            </w:tcBorders>
            <w:shd w:val="clear" w:color="auto" w:fill="auto"/>
            <w:noWrap/>
            <w:vAlign w:val="bottom"/>
            <w:hideMark/>
          </w:tcPr>
          <w:p w:rsidR="00A8365B" w:rsidRPr="00E1315A" w:rsidRDefault="00A8365B" w:rsidP="00A8365B">
            <w:pPr>
              <w:spacing w:line="240" w:lineRule="auto"/>
              <w:jc w:val="left"/>
              <w:rPr>
                <w:color w:val="000000"/>
                <w:sz w:val="22"/>
                <w:szCs w:val="22"/>
                <w:lang w:val="en-IN" w:eastAsia="en-IN"/>
              </w:rPr>
            </w:pPr>
            <w:r w:rsidRPr="00E1315A">
              <w:rPr>
                <w:color w:val="000000"/>
                <w:sz w:val="22"/>
                <w:szCs w:val="22"/>
                <w:lang w:val="en-IN" w:eastAsia="en-IN"/>
              </w:rPr>
              <w:t>Add: Additions during the year/Capitalization</w:t>
            </w:r>
          </w:p>
        </w:tc>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A8365B" w:rsidRDefault="00A8365B" w:rsidP="00A8365B">
            <w:pPr>
              <w:jc w:val="right"/>
              <w:rPr>
                <w:color w:val="000000"/>
                <w:sz w:val="22"/>
                <w:szCs w:val="22"/>
              </w:rPr>
            </w:pPr>
            <w:r>
              <w:rPr>
                <w:color w:val="000000"/>
                <w:sz w:val="22"/>
                <w:szCs w:val="22"/>
              </w:rPr>
              <w:t>7.95</w:t>
            </w:r>
          </w:p>
        </w:tc>
        <w:tc>
          <w:tcPr>
            <w:tcW w:w="1747" w:type="dxa"/>
            <w:tcBorders>
              <w:top w:val="nil"/>
              <w:left w:val="nil"/>
              <w:bottom w:val="single" w:sz="4" w:space="0" w:color="auto"/>
              <w:right w:val="single" w:sz="4" w:space="0" w:color="auto"/>
            </w:tcBorders>
            <w:shd w:val="clear" w:color="auto" w:fill="auto"/>
            <w:noWrap/>
            <w:vAlign w:val="bottom"/>
            <w:hideMark/>
          </w:tcPr>
          <w:p w:rsidR="00A8365B" w:rsidRDefault="00A8365B" w:rsidP="00A8365B">
            <w:pPr>
              <w:jc w:val="right"/>
              <w:rPr>
                <w:color w:val="000000"/>
                <w:sz w:val="22"/>
                <w:szCs w:val="22"/>
              </w:rPr>
            </w:pPr>
            <w:r>
              <w:rPr>
                <w:color w:val="000000"/>
                <w:sz w:val="22"/>
                <w:szCs w:val="22"/>
              </w:rPr>
              <w:t>12.061</w:t>
            </w:r>
          </w:p>
        </w:tc>
        <w:tc>
          <w:tcPr>
            <w:tcW w:w="1747" w:type="dxa"/>
            <w:tcBorders>
              <w:top w:val="nil"/>
              <w:left w:val="nil"/>
              <w:bottom w:val="single" w:sz="4" w:space="0" w:color="auto"/>
              <w:right w:val="single" w:sz="4" w:space="0" w:color="auto"/>
            </w:tcBorders>
            <w:shd w:val="clear" w:color="auto" w:fill="auto"/>
            <w:noWrap/>
            <w:vAlign w:val="bottom"/>
            <w:hideMark/>
          </w:tcPr>
          <w:p w:rsidR="00A8365B" w:rsidRDefault="00A8365B" w:rsidP="00A8365B">
            <w:pPr>
              <w:jc w:val="right"/>
              <w:rPr>
                <w:color w:val="000000"/>
                <w:sz w:val="22"/>
                <w:szCs w:val="22"/>
              </w:rPr>
            </w:pPr>
            <w:r>
              <w:rPr>
                <w:color w:val="000000"/>
                <w:sz w:val="22"/>
                <w:szCs w:val="22"/>
              </w:rPr>
              <w:t>31.566</w:t>
            </w:r>
          </w:p>
        </w:tc>
      </w:tr>
      <w:tr w:rsidR="00A8365B" w:rsidRPr="00E1315A" w:rsidTr="007C11BA">
        <w:trPr>
          <w:trHeight w:val="300"/>
          <w:jc w:val="center"/>
        </w:trPr>
        <w:tc>
          <w:tcPr>
            <w:tcW w:w="3392" w:type="dxa"/>
            <w:tcBorders>
              <w:top w:val="nil"/>
              <w:left w:val="single" w:sz="8" w:space="0" w:color="auto"/>
              <w:bottom w:val="single" w:sz="4" w:space="0" w:color="auto"/>
              <w:right w:val="single" w:sz="4" w:space="0" w:color="auto"/>
            </w:tcBorders>
            <w:shd w:val="clear" w:color="auto" w:fill="auto"/>
            <w:noWrap/>
            <w:vAlign w:val="bottom"/>
            <w:hideMark/>
          </w:tcPr>
          <w:p w:rsidR="00A8365B" w:rsidRPr="00E1315A" w:rsidRDefault="00A8365B" w:rsidP="00A8365B">
            <w:pPr>
              <w:spacing w:line="240" w:lineRule="auto"/>
              <w:jc w:val="left"/>
              <w:rPr>
                <w:color w:val="000000"/>
                <w:sz w:val="22"/>
                <w:szCs w:val="22"/>
                <w:lang w:val="en-IN" w:eastAsia="en-IN"/>
              </w:rPr>
            </w:pPr>
            <w:r w:rsidRPr="00E1315A">
              <w:rPr>
                <w:color w:val="000000"/>
                <w:sz w:val="22"/>
                <w:szCs w:val="22"/>
                <w:lang w:val="en-IN" w:eastAsia="en-IN"/>
              </w:rPr>
              <w:t>Closing GFA</w:t>
            </w:r>
          </w:p>
        </w:tc>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A8365B" w:rsidRDefault="00A8365B" w:rsidP="00A8365B">
            <w:pPr>
              <w:jc w:val="right"/>
              <w:rPr>
                <w:color w:val="000000"/>
                <w:sz w:val="22"/>
                <w:szCs w:val="22"/>
              </w:rPr>
            </w:pPr>
            <w:r>
              <w:rPr>
                <w:color w:val="000000"/>
                <w:sz w:val="22"/>
                <w:szCs w:val="22"/>
              </w:rPr>
              <w:t>87.45</w:t>
            </w:r>
          </w:p>
        </w:tc>
        <w:tc>
          <w:tcPr>
            <w:tcW w:w="1747" w:type="dxa"/>
            <w:tcBorders>
              <w:top w:val="nil"/>
              <w:left w:val="nil"/>
              <w:bottom w:val="single" w:sz="4" w:space="0" w:color="auto"/>
              <w:right w:val="single" w:sz="4" w:space="0" w:color="auto"/>
            </w:tcBorders>
            <w:shd w:val="clear" w:color="auto" w:fill="auto"/>
            <w:noWrap/>
            <w:vAlign w:val="bottom"/>
            <w:hideMark/>
          </w:tcPr>
          <w:p w:rsidR="00A8365B" w:rsidRDefault="00A8365B" w:rsidP="00A8365B">
            <w:pPr>
              <w:jc w:val="right"/>
              <w:rPr>
                <w:color w:val="000000"/>
                <w:sz w:val="22"/>
                <w:szCs w:val="22"/>
              </w:rPr>
            </w:pPr>
            <w:r>
              <w:rPr>
                <w:color w:val="000000"/>
                <w:sz w:val="22"/>
                <w:szCs w:val="22"/>
              </w:rPr>
              <w:t>99.51</w:t>
            </w:r>
          </w:p>
        </w:tc>
        <w:tc>
          <w:tcPr>
            <w:tcW w:w="1747" w:type="dxa"/>
            <w:tcBorders>
              <w:top w:val="nil"/>
              <w:left w:val="nil"/>
              <w:bottom w:val="single" w:sz="4" w:space="0" w:color="auto"/>
              <w:right w:val="single" w:sz="4" w:space="0" w:color="auto"/>
            </w:tcBorders>
            <w:shd w:val="clear" w:color="auto" w:fill="auto"/>
            <w:noWrap/>
            <w:vAlign w:val="bottom"/>
            <w:hideMark/>
          </w:tcPr>
          <w:p w:rsidR="00A8365B" w:rsidRDefault="00A8365B" w:rsidP="00A8365B">
            <w:pPr>
              <w:jc w:val="right"/>
              <w:rPr>
                <w:color w:val="000000"/>
                <w:sz w:val="22"/>
                <w:szCs w:val="22"/>
              </w:rPr>
            </w:pPr>
            <w:r>
              <w:rPr>
                <w:color w:val="000000"/>
                <w:sz w:val="22"/>
                <w:szCs w:val="22"/>
              </w:rPr>
              <w:t>131.07</w:t>
            </w:r>
          </w:p>
        </w:tc>
      </w:tr>
    </w:tbl>
    <w:p w:rsidR="00B412C5" w:rsidRDefault="00B412C5" w:rsidP="00B412C5">
      <w:pPr>
        <w:pStyle w:val="ED-H3"/>
        <w:numPr>
          <w:ilvl w:val="0"/>
          <w:numId w:val="0"/>
        </w:numPr>
        <w:ind w:left="720"/>
      </w:pPr>
    </w:p>
    <w:p w:rsidR="00337C5E" w:rsidRDefault="00C04E00" w:rsidP="00A8365B">
      <w:pPr>
        <w:pStyle w:val="ED-H3"/>
        <w:rPr>
          <w:lang w:val="en-US" w:bidi="ta-IN"/>
        </w:rPr>
      </w:pPr>
      <w:r>
        <w:t xml:space="preserve">Based on the above projections the petitioner requests the Hon’ble Commission to </w:t>
      </w:r>
      <w:r w:rsidR="00A8365B">
        <w:t>approve t</w:t>
      </w:r>
      <w:r w:rsidR="00A8365B" w:rsidRPr="00A8365B">
        <w:t xml:space="preserve">he Business Plan filed </w:t>
      </w:r>
      <w:r w:rsidR="00A8365B">
        <w:t>for</w:t>
      </w:r>
      <w:r w:rsidR="00A8365B" w:rsidRPr="00A8365B">
        <w:t xml:space="preserve"> Distribution Wires Busi</w:t>
      </w:r>
      <w:r w:rsidR="00A8365B">
        <w:t>ness and Retail Supply Business</w:t>
      </w:r>
      <w:r>
        <w:t xml:space="preserve"> for the control period.</w:t>
      </w:r>
    </w:p>
    <w:p w:rsidR="00246492" w:rsidRDefault="00246492">
      <w:pPr>
        <w:spacing w:line="240" w:lineRule="auto"/>
        <w:jc w:val="left"/>
        <w:rPr>
          <w:rFonts w:cs="Calibri"/>
          <w:b/>
          <w:bCs/>
          <w:caps/>
          <w:kern w:val="32"/>
        </w:rPr>
      </w:pPr>
      <w:r>
        <w:rPr>
          <w:rFonts w:cs="Calibri"/>
        </w:rPr>
        <w:br w:type="page"/>
      </w:r>
    </w:p>
    <w:p w:rsidR="00337C5E" w:rsidRDefault="00934167">
      <w:pPr>
        <w:pStyle w:val="ED-H1"/>
      </w:pPr>
      <w:bookmarkStart w:id="145" w:name="_Toc523724501"/>
      <w:r w:rsidRPr="00934167">
        <w:lastRenderedPageBreak/>
        <w:t>PRAYERS to Commission</w:t>
      </w:r>
      <w:bookmarkEnd w:id="145"/>
    </w:p>
    <w:p w:rsidR="009F77B6" w:rsidRDefault="009F77B6" w:rsidP="009F77B6">
      <w:pPr>
        <w:spacing w:line="240" w:lineRule="auto"/>
        <w:jc w:val="left"/>
        <w:rPr>
          <w:bCs/>
        </w:rPr>
      </w:pPr>
    </w:p>
    <w:p w:rsidR="00934167" w:rsidRPr="009E17C1" w:rsidRDefault="00934167" w:rsidP="009E17C1">
      <w:pPr>
        <w:pStyle w:val="EDNormal"/>
      </w:pPr>
      <w:r w:rsidRPr="009E17C1">
        <w:t>The Electricity Department, Government of Puducherry (</w:t>
      </w:r>
      <w:r w:rsidR="006528AF">
        <w:t>PED</w:t>
      </w:r>
      <w:r w:rsidRPr="009E17C1">
        <w:t xml:space="preserve">) respectfully prays to the Hon’ble Commission to: </w:t>
      </w:r>
    </w:p>
    <w:p w:rsidR="00934167" w:rsidRPr="00934167" w:rsidRDefault="00934167" w:rsidP="00C62D37">
      <w:pPr>
        <w:pStyle w:val="Heading3"/>
        <w:numPr>
          <w:ilvl w:val="0"/>
          <w:numId w:val="0"/>
        </w:numPr>
        <w:ind w:left="720"/>
      </w:pPr>
    </w:p>
    <w:p w:rsidR="00337C5E" w:rsidRDefault="00845F24" w:rsidP="00EB4296">
      <w:pPr>
        <w:pStyle w:val="ED-H3"/>
      </w:pPr>
      <w:r>
        <w:t xml:space="preserve">Admit the </w:t>
      </w:r>
      <w:r w:rsidR="00934167" w:rsidRPr="00934167">
        <w:t>Business plan</w:t>
      </w:r>
      <w:r>
        <w:t xml:space="preserve"> of </w:t>
      </w:r>
      <w:r w:rsidR="006528AF">
        <w:t>PED</w:t>
      </w:r>
      <w:r w:rsidR="00934167" w:rsidRPr="00934167">
        <w:t xml:space="preserve"> for the </w:t>
      </w:r>
      <w:r w:rsidR="00E75747">
        <w:t>C</w:t>
      </w:r>
      <w:r w:rsidR="00934167" w:rsidRPr="00934167">
        <w:t xml:space="preserve">ontrol </w:t>
      </w:r>
      <w:r w:rsidR="00E75747">
        <w:t>P</w:t>
      </w:r>
      <w:r w:rsidR="00EB4296">
        <w:t>eriod FY 2019-20 to FY 2021-22</w:t>
      </w:r>
      <w:r>
        <w:t xml:space="preserve"> in a</w:t>
      </w:r>
      <w:r w:rsidR="00BD20CD">
        <w:t>ccordance with</w:t>
      </w:r>
      <w:r w:rsidR="00EB4296">
        <w:t xml:space="preserve"> Regulation 8 and Regulation 16</w:t>
      </w:r>
      <w:r w:rsidR="00C54E5C">
        <w:t xml:space="preserve"> of</w:t>
      </w:r>
      <w:r w:rsidR="00BD20CD">
        <w:t xml:space="preserve"> JERC </w:t>
      </w:r>
      <w:r w:rsidR="00EB4296">
        <w:t>(</w:t>
      </w:r>
      <w:r w:rsidR="00EB4296" w:rsidRPr="00EB4296">
        <w:t>GENERATION, TRANSMISSION AND DISTRIBUTION MULTI YEAR TARIFF)</w:t>
      </w:r>
      <w:r w:rsidR="00BD20CD">
        <w:t xml:space="preserve"> Regulations, </w:t>
      </w:r>
      <w:r w:rsidR="00EB4296">
        <w:t>2018</w:t>
      </w:r>
      <w:r w:rsidR="00934167" w:rsidRPr="00934167">
        <w:t xml:space="preserve">. </w:t>
      </w:r>
    </w:p>
    <w:p w:rsidR="00934167" w:rsidRDefault="00934167" w:rsidP="00C62D37">
      <w:pPr>
        <w:pStyle w:val="Heading3"/>
        <w:numPr>
          <w:ilvl w:val="0"/>
          <w:numId w:val="0"/>
        </w:numPr>
      </w:pPr>
    </w:p>
    <w:p w:rsidR="00337C5E" w:rsidRDefault="00E75747">
      <w:pPr>
        <w:pStyle w:val="ED-H3"/>
      </w:pPr>
      <w:r>
        <w:t>A</w:t>
      </w:r>
      <w:r w:rsidRPr="00E75747">
        <w:t>pp</w:t>
      </w:r>
      <w:r>
        <w:t xml:space="preserve">rove </w:t>
      </w:r>
      <w:r w:rsidR="00EB4296">
        <w:t xml:space="preserve">the </w:t>
      </w:r>
      <w:r w:rsidR="00EB4296" w:rsidRPr="00934167">
        <w:t>Business plan</w:t>
      </w:r>
      <w:r w:rsidR="00EB4296">
        <w:t xml:space="preserve"> of PED</w:t>
      </w:r>
      <w:r w:rsidR="00EB4296" w:rsidRPr="00934167">
        <w:t xml:space="preserve"> for the </w:t>
      </w:r>
      <w:r w:rsidR="00EB4296">
        <w:t>C</w:t>
      </w:r>
      <w:r w:rsidR="00EB4296" w:rsidRPr="00934167">
        <w:t xml:space="preserve">ontrol </w:t>
      </w:r>
      <w:r w:rsidR="00EB4296">
        <w:t>Period FY 2019-20 to FY 2021-22 in accordance with Regulation 8 and Regulation 16 of JERC (</w:t>
      </w:r>
      <w:r w:rsidR="00EB4296" w:rsidRPr="00EB4296">
        <w:t>GENERATION, TRANSMISSION AND DISTRIBUTION MULTI YEAR TARIFF)</w:t>
      </w:r>
      <w:r w:rsidR="00EB4296">
        <w:t xml:space="preserve"> Regulations, 2018</w:t>
      </w:r>
      <w:r w:rsidR="00EB4296" w:rsidRPr="00934167">
        <w:t>.</w:t>
      </w:r>
    </w:p>
    <w:p w:rsidR="00E75747" w:rsidRDefault="00E75747" w:rsidP="00C62D37">
      <w:pPr>
        <w:pStyle w:val="Heading3"/>
        <w:numPr>
          <w:ilvl w:val="0"/>
          <w:numId w:val="0"/>
        </w:numPr>
        <w:ind w:left="720"/>
      </w:pPr>
    </w:p>
    <w:p w:rsidR="00337C5E" w:rsidRDefault="00E87624">
      <w:pPr>
        <w:pStyle w:val="ED-H3"/>
      </w:pPr>
      <w:r>
        <w:t>Approve the p</w:t>
      </w:r>
      <w:r w:rsidR="00845F24" w:rsidRPr="00845F24">
        <w:t>rincipl</w:t>
      </w:r>
      <w:r w:rsidR="00F74908">
        <w:t xml:space="preserve">es and </w:t>
      </w:r>
      <w:r>
        <w:t>m</w:t>
      </w:r>
      <w:r w:rsidR="00F74908">
        <w:t xml:space="preserve">ethodology proposed by </w:t>
      </w:r>
      <w:r w:rsidR="006528AF">
        <w:t>PED</w:t>
      </w:r>
      <w:r w:rsidR="00845F24" w:rsidRPr="00845F24">
        <w:t xml:space="preserve"> in the Business Plan</w:t>
      </w:r>
      <w:r w:rsidR="0027791D">
        <w:t>.</w:t>
      </w:r>
    </w:p>
    <w:p w:rsidR="00845F24" w:rsidRDefault="00845F24" w:rsidP="00845F24">
      <w:pPr>
        <w:pStyle w:val="ListParagraph"/>
        <w:rPr>
          <w:bCs/>
        </w:rPr>
      </w:pPr>
    </w:p>
    <w:p w:rsidR="00337C5E" w:rsidRDefault="00EE47DB">
      <w:pPr>
        <w:pStyle w:val="ED-H3"/>
      </w:pPr>
      <w:r>
        <w:t>A</w:t>
      </w:r>
      <w:r w:rsidR="00235E00">
        <w:t>pprove the c</w:t>
      </w:r>
      <w:r w:rsidR="0027791D">
        <w:t xml:space="preserve">apital expenditure and source of funding as proposed by </w:t>
      </w:r>
      <w:r w:rsidR="006528AF">
        <w:t>PED</w:t>
      </w:r>
      <w:r w:rsidR="0027791D">
        <w:t xml:space="preserve"> in the </w:t>
      </w:r>
      <w:r w:rsidR="00E87624">
        <w:t>B</w:t>
      </w:r>
      <w:r w:rsidR="0027791D">
        <w:t xml:space="preserve">usiness </w:t>
      </w:r>
      <w:r w:rsidR="00E87624">
        <w:t>P</w:t>
      </w:r>
      <w:r w:rsidR="0027791D">
        <w:t>lan.</w:t>
      </w:r>
    </w:p>
    <w:p w:rsidR="0027791D" w:rsidRDefault="0027791D" w:rsidP="0027791D">
      <w:pPr>
        <w:pStyle w:val="ListParagraph"/>
        <w:rPr>
          <w:bCs/>
        </w:rPr>
      </w:pPr>
    </w:p>
    <w:p w:rsidR="00337C5E" w:rsidRDefault="00E87624">
      <w:pPr>
        <w:pStyle w:val="ED-H3"/>
      </w:pPr>
      <w:r>
        <w:t>P</w:t>
      </w:r>
      <w:r w:rsidR="00934167" w:rsidRPr="00934167">
        <w:t>ass any other Order as the Hon’ble Commission may deem fit and appropriate under the circumstances of the case and in the interest of justice</w:t>
      </w:r>
      <w:r w:rsidR="00845F24">
        <w:t>.</w:t>
      </w:r>
    </w:p>
    <w:p w:rsidR="00F74908" w:rsidRPr="0095398C" w:rsidRDefault="00F74908" w:rsidP="0095398C">
      <w:pPr>
        <w:rPr>
          <w:bCs/>
        </w:rPr>
      </w:pPr>
    </w:p>
    <w:p w:rsidR="00337C5E" w:rsidRDefault="00F74908">
      <w:pPr>
        <w:pStyle w:val="ED-H3"/>
      </w:pPr>
      <w:r w:rsidRPr="00934167">
        <w:t>Grant any other relief as the Hon’ble Commission may consider appropri</w:t>
      </w:r>
      <w:r>
        <w:t>ate.</w:t>
      </w:r>
    </w:p>
    <w:p w:rsidR="0095398C" w:rsidRDefault="0095398C" w:rsidP="0095398C">
      <w:pPr>
        <w:pStyle w:val="ListParagraph"/>
        <w:rPr>
          <w:bCs/>
        </w:rPr>
      </w:pPr>
    </w:p>
    <w:p w:rsidR="00580102" w:rsidRDefault="0095398C">
      <w:pPr>
        <w:pStyle w:val="ED-H3"/>
      </w:pPr>
      <w:r>
        <w:t>C</w:t>
      </w:r>
      <w:r w:rsidRPr="00845F24">
        <w:t>ondone any error/omission and to give opportunity to rectify the same.</w:t>
      </w:r>
    </w:p>
    <w:p w:rsidR="00580102" w:rsidRDefault="00580102" w:rsidP="00580102">
      <w:pPr>
        <w:pStyle w:val="ED-H3"/>
        <w:numPr>
          <w:ilvl w:val="0"/>
          <w:numId w:val="0"/>
        </w:numPr>
        <w:ind w:left="720"/>
      </w:pPr>
    </w:p>
    <w:p w:rsidR="00845F24" w:rsidRPr="00845F24" w:rsidRDefault="00845F24" w:rsidP="00C62D37">
      <w:pPr>
        <w:pStyle w:val="Heading3"/>
        <w:numPr>
          <w:ilvl w:val="0"/>
          <w:numId w:val="0"/>
        </w:numPr>
      </w:pPr>
    </w:p>
    <w:p w:rsidR="00337C5E" w:rsidRDefault="00E87624">
      <w:pPr>
        <w:pStyle w:val="ED-H3"/>
      </w:pPr>
      <w:r>
        <w:t>P</w:t>
      </w:r>
      <w:r w:rsidR="00845F24" w:rsidRPr="00845F24">
        <w:t xml:space="preserve">ermit </w:t>
      </w:r>
      <w:r w:rsidR="006528AF">
        <w:t>PED</w:t>
      </w:r>
      <w:r w:rsidR="00845F24" w:rsidRPr="00845F24">
        <w:t xml:space="preserve"> to make further submissions, addition and alteration to this Business Plan as may be necessary from time to time. </w:t>
      </w:r>
    </w:p>
    <w:p w:rsidR="00845F24" w:rsidRDefault="00845F24">
      <w:pPr>
        <w:spacing w:line="240" w:lineRule="auto"/>
        <w:jc w:val="left"/>
        <w:rPr>
          <w:rFonts w:cs="Calibri"/>
          <w:b/>
          <w:bCs/>
          <w:iCs/>
          <w:lang w:val="en-US" w:bidi="ta-IN"/>
        </w:rPr>
      </w:pPr>
    </w:p>
    <w:p w:rsidR="009F66FD" w:rsidRPr="00952D70" w:rsidRDefault="009F66FD">
      <w:pPr>
        <w:spacing w:line="240" w:lineRule="auto"/>
        <w:jc w:val="left"/>
        <w:rPr>
          <w:rFonts w:cs="Calibri"/>
          <w:b/>
          <w:bCs/>
          <w:iCs/>
          <w:lang w:val="en-US" w:bidi="ta-IN"/>
        </w:rPr>
      </w:pPr>
    </w:p>
    <w:p w:rsidR="009F66FD" w:rsidRPr="00952D70" w:rsidRDefault="009F66FD">
      <w:pPr>
        <w:spacing w:line="240" w:lineRule="auto"/>
        <w:jc w:val="left"/>
        <w:rPr>
          <w:rFonts w:cs="Calibri"/>
          <w:b/>
          <w:bCs/>
          <w:iCs/>
          <w:lang w:val="en-US" w:bidi="ta-IN"/>
        </w:rPr>
      </w:pPr>
    </w:p>
    <w:p w:rsidR="009F66FD" w:rsidRPr="00952D70" w:rsidRDefault="009F66FD">
      <w:pPr>
        <w:spacing w:line="240" w:lineRule="auto"/>
        <w:jc w:val="left"/>
        <w:rPr>
          <w:rFonts w:cs="Calibri"/>
          <w:b/>
          <w:bCs/>
          <w:iCs/>
          <w:lang w:val="en-US" w:bidi="ta-IN"/>
        </w:rPr>
      </w:pPr>
    </w:p>
    <w:p w:rsidR="009F66FD" w:rsidRPr="00952D70" w:rsidRDefault="009F66FD">
      <w:pPr>
        <w:spacing w:line="240" w:lineRule="auto"/>
        <w:jc w:val="left"/>
        <w:rPr>
          <w:rFonts w:cs="Calibri"/>
          <w:b/>
          <w:bCs/>
          <w:iCs/>
          <w:lang w:val="en-US" w:bidi="ta-IN"/>
        </w:rPr>
      </w:pPr>
    </w:p>
    <w:p w:rsidR="009F66FD" w:rsidRPr="00952D70" w:rsidRDefault="009F66FD">
      <w:pPr>
        <w:spacing w:line="240" w:lineRule="auto"/>
        <w:jc w:val="left"/>
        <w:rPr>
          <w:rFonts w:cs="Calibri"/>
          <w:b/>
          <w:bCs/>
          <w:iCs/>
          <w:lang w:val="en-US" w:bidi="ta-IN"/>
        </w:rPr>
      </w:pPr>
    </w:p>
    <w:p w:rsidR="009F66FD" w:rsidRPr="00952D70" w:rsidRDefault="009F66FD">
      <w:pPr>
        <w:spacing w:line="240" w:lineRule="auto"/>
        <w:jc w:val="left"/>
        <w:rPr>
          <w:rFonts w:cs="Calibri"/>
          <w:b/>
          <w:bCs/>
          <w:iCs/>
          <w:lang w:val="en-US" w:bidi="ta-IN"/>
        </w:rPr>
      </w:pPr>
    </w:p>
    <w:p w:rsidR="00165DAF" w:rsidRPr="00952D70" w:rsidRDefault="00165DAF" w:rsidP="006E557A">
      <w:pPr>
        <w:pStyle w:val="Caption"/>
        <w:jc w:val="both"/>
      </w:pPr>
    </w:p>
    <w:p w:rsidR="00061AA6" w:rsidRPr="00D34B7E" w:rsidRDefault="00061AA6" w:rsidP="00061AA6">
      <w:pPr>
        <w:pStyle w:val="Caption"/>
        <w:rPr>
          <w:sz w:val="28"/>
        </w:rPr>
      </w:pPr>
      <w:r w:rsidRPr="00D34B7E">
        <w:rPr>
          <w:sz w:val="28"/>
        </w:rPr>
        <w:t>Annexures</w:t>
      </w:r>
    </w:p>
    <w:p w:rsidR="00302CB2" w:rsidRDefault="00302CB2" w:rsidP="00302CB2">
      <w:pPr>
        <w:pStyle w:val="Caption"/>
        <w:jc w:val="both"/>
      </w:pPr>
      <w:bookmarkStart w:id="146" w:name="_Toc523617120"/>
      <w:bookmarkStart w:id="147" w:name="_Toc523740871"/>
      <w:r w:rsidRPr="00165DAF">
        <w:t xml:space="preserve">Annexure </w:t>
      </w:r>
      <w:r w:rsidR="00140E1B">
        <w:fldChar w:fldCharType="begin"/>
      </w:r>
      <w:r>
        <w:instrText xml:space="preserve"> SEQ Annexure \* ARABIC </w:instrText>
      </w:r>
      <w:r w:rsidR="00140E1B">
        <w:fldChar w:fldCharType="separate"/>
      </w:r>
      <w:r w:rsidR="004B7EE5">
        <w:rPr>
          <w:noProof/>
        </w:rPr>
        <w:t>1</w:t>
      </w:r>
      <w:r w:rsidR="00140E1B">
        <w:rPr>
          <w:noProof/>
        </w:rPr>
        <w:fldChar w:fldCharType="end"/>
      </w:r>
      <w:r w:rsidRPr="00165DAF">
        <w:t xml:space="preserve">: AUDITED ANNUAL ACCOUNTS OF </w:t>
      </w:r>
      <w:r>
        <w:t>PED FOR FY 2014-15</w:t>
      </w:r>
      <w:bookmarkEnd w:id="146"/>
      <w:bookmarkEnd w:id="147"/>
    </w:p>
    <w:p w:rsidR="00302CB2" w:rsidRDefault="00302CB2" w:rsidP="00302CB2">
      <w:pPr>
        <w:pStyle w:val="Caption"/>
        <w:jc w:val="both"/>
      </w:pPr>
      <w:bookmarkStart w:id="148" w:name="_Toc523617121"/>
      <w:bookmarkStart w:id="149" w:name="_Toc523740872"/>
      <w:r w:rsidRPr="00165DAF">
        <w:t xml:space="preserve">Annexure </w:t>
      </w:r>
      <w:r w:rsidR="00140E1B">
        <w:fldChar w:fldCharType="begin"/>
      </w:r>
      <w:r>
        <w:instrText xml:space="preserve"> SEQ Annexure \* ARABIC </w:instrText>
      </w:r>
      <w:r w:rsidR="00140E1B">
        <w:fldChar w:fldCharType="separate"/>
      </w:r>
      <w:r w:rsidR="004B7EE5">
        <w:rPr>
          <w:noProof/>
        </w:rPr>
        <w:t>2</w:t>
      </w:r>
      <w:r w:rsidR="00140E1B">
        <w:rPr>
          <w:noProof/>
        </w:rPr>
        <w:fldChar w:fldCharType="end"/>
      </w:r>
      <w:r w:rsidRPr="00165DAF">
        <w:t xml:space="preserve">: AUDITED ANNUAL ACCOUNTS OF </w:t>
      </w:r>
      <w:r>
        <w:t>PED</w:t>
      </w:r>
      <w:r w:rsidRPr="00165DAF">
        <w:t xml:space="preserve"> FOR FY </w:t>
      </w:r>
      <w:r>
        <w:t>2015-16</w:t>
      </w:r>
      <w:bookmarkStart w:id="150" w:name="_Toc523617122"/>
      <w:bookmarkEnd w:id="148"/>
      <w:bookmarkEnd w:id="149"/>
    </w:p>
    <w:p w:rsidR="00302CB2" w:rsidRDefault="00302CB2" w:rsidP="00302CB2">
      <w:pPr>
        <w:pStyle w:val="Caption"/>
        <w:jc w:val="both"/>
      </w:pPr>
      <w:bookmarkStart w:id="151" w:name="_Toc523740873"/>
      <w:r w:rsidRPr="00165DAF">
        <w:t xml:space="preserve">Annexure </w:t>
      </w:r>
      <w:r w:rsidR="00140E1B">
        <w:fldChar w:fldCharType="begin"/>
      </w:r>
      <w:r>
        <w:instrText xml:space="preserve"> SEQ Annexure \* ARABIC </w:instrText>
      </w:r>
      <w:r w:rsidR="00140E1B">
        <w:fldChar w:fldCharType="separate"/>
      </w:r>
      <w:r w:rsidR="004B7EE5">
        <w:rPr>
          <w:noProof/>
        </w:rPr>
        <w:t>3</w:t>
      </w:r>
      <w:r w:rsidR="00140E1B">
        <w:rPr>
          <w:noProof/>
        </w:rPr>
        <w:fldChar w:fldCharType="end"/>
      </w:r>
      <w:r w:rsidRPr="00165DAF">
        <w:t xml:space="preserve">: AUDITED ANNUAL ACCOUNTS OF </w:t>
      </w:r>
      <w:r>
        <w:t>PED</w:t>
      </w:r>
      <w:r w:rsidRPr="00165DAF">
        <w:t xml:space="preserve"> FOR FY</w:t>
      </w:r>
      <w:r>
        <w:t xml:space="preserve"> 2016-17</w:t>
      </w:r>
      <w:bookmarkEnd w:id="150"/>
      <w:bookmarkEnd w:id="151"/>
    </w:p>
    <w:p w:rsidR="00302CB2" w:rsidRDefault="0012486A" w:rsidP="00302CB2">
      <w:pPr>
        <w:pStyle w:val="Caption"/>
        <w:jc w:val="both"/>
        <w:rPr>
          <w:rFonts w:cs="Calibri"/>
          <w:iCs/>
          <w:noProof/>
          <w:lang w:val="en-US" w:bidi="ta-IN"/>
        </w:rPr>
      </w:pPr>
      <w:bookmarkStart w:id="152" w:name="_Ref399526575"/>
      <w:bookmarkStart w:id="153" w:name="_Toc399610380"/>
      <w:bookmarkStart w:id="154" w:name="_Toc399662065"/>
      <w:bookmarkStart w:id="155" w:name="_Toc523617126"/>
      <w:r w:rsidRPr="00165DAF">
        <w:t>Annexure</w:t>
      </w:r>
      <w:bookmarkEnd w:id="152"/>
      <w:r w:rsidR="00595812">
        <w:t xml:space="preserve">4: </w:t>
      </w:r>
      <w:bookmarkEnd w:id="153"/>
      <w:bookmarkEnd w:id="154"/>
      <w:r w:rsidR="00302CB2">
        <w:t xml:space="preserve">SRPC </w:t>
      </w:r>
      <w:r w:rsidR="00302CB2" w:rsidRPr="00E056DB">
        <w:t>Regional Energy Account for the month of July,2018</w:t>
      </w:r>
      <w:bookmarkEnd w:id="155"/>
    </w:p>
    <w:p w:rsidR="003B3CFF" w:rsidRDefault="003B3CFF" w:rsidP="00302CB2">
      <w:pPr>
        <w:pStyle w:val="Caption"/>
        <w:jc w:val="both"/>
      </w:pPr>
    </w:p>
    <w:p w:rsidR="003B3CFF" w:rsidRPr="003B3CFF" w:rsidRDefault="003B3CFF" w:rsidP="003B3CFF"/>
    <w:p w:rsidR="003B3CFF" w:rsidRPr="003B3CFF" w:rsidRDefault="003B3CFF" w:rsidP="003B3CFF"/>
    <w:p w:rsidR="003B3CFF" w:rsidRPr="003B3CFF" w:rsidRDefault="003B3CFF" w:rsidP="003B3CFF"/>
    <w:p w:rsidR="003B3CFF" w:rsidRPr="003B3CFF" w:rsidRDefault="003B3CFF" w:rsidP="003B3CFF"/>
    <w:p w:rsidR="003B3CFF" w:rsidRPr="003B3CFF" w:rsidRDefault="003B3CFF" w:rsidP="003B3CFF"/>
    <w:p w:rsidR="00061AA6" w:rsidRPr="003B3CFF" w:rsidRDefault="00061AA6" w:rsidP="003B3CFF">
      <w:pPr>
        <w:jc w:val="center"/>
      </w:pPr>
    </w:p>
    <w:sectPr w:rsidR="00061AA6" w:rsidRPr="003B3CFF" w:rsidSect="00B263CA">
      <w:headerReference w:type="default" r:id="rId44"/>
      <w:footerReference w:type="default" r:id="rId45"/>
      <w:pgSz w:w="11909" w:h="16834" w:code="9"/>
      <w:pgMar w:top="1350" w:right="1440" w:bottom="810" w:left="1440" w:header="288" w:footer="765"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5109" w:rsidRDefault="00315109">
      <w:r>
        <w:separator/>
      </w:r>
    </w:p>
  </w:endnote>
  <w:endnote w:type="continuationSeparator" w:id="1">
    <w:p w:rsidR="00315109" w:rsidRDefault="003151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A00002EF" w:usb1="4000004B" w:usb2="00000000" w:usb3="00000000" w:csb0="0000019F" w:csb1="00000000"/>
  </w:font>
  <w:font w:name="TTE189F6F8t00">
    <w:altName w:val="TT E 18 9 F 6 F 8t"/>
    <w:panose1 w:val="00000000000000000000"/>
    <w:charset w:val="00"/>
    <w:family w:val="swiss"/>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BoldItalic">
    <w:panose1 w:val="00000000000000000000"/>
    <w:charset w:val="00"/>
    <w:family w:val="auto"/>
    <w:notTrueType/>
    <w:pitch w:val="default"/>
    <w:sig w:usb0="00000003" w:usb1="00000000" w:usb2="00000000" w:usb3="00000000" w:csb0="00000001" w:csb1="00000000"/>
  </w:font>
  <w:font w:name="DejaVuSerifCondensed">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09C" w:rsidRDefault="005C009C">
    <w:pPr>
      <w:pStyle w:val="Footer"/>
      <w:rPr>
        <w:rFonts w:cs="Tahoma"/>
        <w:b/>
        <w:bCs/>
        <w:i/>
        <w:iCs/>
        <w:sz w:val="8"/>
        <w:lang w:val="en-US"/>
      </w:rPr>
    </w:pPr>
  </w:p>
  <w:p w:rsidR="005C009C" w:rsidRDefault="005C009C">
    <w:pPr>
      <w:pStyle w:val="Footer"/>
      <w:rPr>
        <w:rFonts w:cs="Tahoma"/>
        <w:b/>
        <w:bCs/>
        <w:i/>
        <w:iCs/>
        <w:sz w:val="8"/>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09C" w:rsidRDefault="00140E1B">
    <w:pPr>
      <w:pStyle w:val="Footer"/>
      <w:jc w:val="right"/>
    </w:pPr>
    <w:r w:rsidRPr="00140E1B">
      <w:rPr>
        <w:noProof/>
        <w:lang w:val="en-IN" w:eastAsia="en-IN"/>
      </w:rPr>
      <w:pict>
        <v:shapetype id="_x0000_t32" coordsize="21600,21600" o:spt="32" o:oned="t" path="m,l21600,21600e" filled="f">
          <v:path arrowok="t" fillok="f" o:connecttype="none"/>
          <o:lock v:ext="edit" shapetype="t"/>
        </v:shapetype>
        <v:shape id="AutoShape 3" o:spid="_x0000_s4103" type="#_x0000_t32" style="position:absolute;left:0;text-align:left;margin-left:-9pt;margin-top:9.8pt;width:486pt;height:0;z-index:25172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" strokecolor="#9bbb59" strokeweight="1.5pt"/>
      </w:pict>
    </w:r>
  </w:p>
  <w:p w:rsidR="005C009C" w:rsidRPr="00696D0A" w:rsidRDefault="005C009C" w:rsidP="00037176">
    <w:pPr>
      <w:pStyle w:val="Footer"/>
      <w:tabs>
        <w:tab w:val="clear" w:pos="4320"/>
        <w:tab w:val="clear" w:pos="8640"/>
      </w:tabs>
      <w:jc w:val="left"/>
      <w:rPr>
        <w:rFonts w:cs="Tahoma"/>
        <w:sz w:val="22"/>
        <w:szCs w:val="22"/>
        <w:lang w:val="en-US"/>
      </w:rPr>
    </w:pPr>
    <w:r w:rsidRPr="009761FE">
      <w:rPr>
        <w:rFonts w:cs="Tahoma"/>
        <w:b/>
        <w:i/>
        <w:iCs/>
        <w:lang w:val="en-US"/>
      </w:rPr>
      <w:t>Puducherry Electricity Department</w:t>
    </w:r>
    <w:r>
      <w:rPr>
        <w:rFonts w:cs="Tahoma"/>
        <w:b/>
        <w:lang w:val="en-US"/>
      </w:rPr>
      <w:tab/>
    </w:r>
    <w:r>
      <w:rPr>
        <w:rFonts w:cs="Tahoma"/>
        <w:b/>
        <w:lang w:val="en-US"/>
      </w:rPr>
      <w:tab/>
    </w:r>
    <w:r>
      <w:rPr>
        <w:rFonts w:cs="Tahoma"/>
        <w:b/>
        <w:lang w:val="en-US"/>
      </w:rPr>
      <w:tab/>
    </w:r>
    <w:r>
      <w:rPr>
        <w:rFonts w:cs="Tahoma"/>
        <w:b/>
        <w:lang w:val="en-US"/>
      </w:rPr>
      <w:tab/>
    </w:r>
    <w:r>
      <w:rPr>
        <w:rFonts w:cs="Tahoma"/>
        <w:b/>
        <w:lang w:val="en-US"/>
      </w:rPr>
      <w:tab/>
    </w:r>
    <w:r>
      <w:rPr>
        <w:rFonts w:cs="Tahoma"/>
        <w:b/>
        <w:lang w:val="en-US"/>
      </w:rPr>
      <w:tab/>
    </w:r>
    <w:r>
      <w:rPr>
        <w:rFonts w:cs="Tahoma"/>
        <w:b/>
        <w:lang w:val="en-US"/>
      </w:rPr>
      <w:tab/>
    </w:r>
    <w:r w:rsidRPr="00892D74">
      <w:rPr>
        <w:rFonts w:cs="Tahoma"/>
        <w:b/>
        <w:lang w:val="en-US"/>
      </w:rPr>
      <w:t xml:space="preserve">Page </w:t>
    </w:r>
    <w:r w:rsidR="00140E1B" w:rsidRPr="00892D74">
      <w:rPr>
        <w:rFonts w:cs="Tahoma"/>
        <w:b/>
        <w:lang w:val="en-US"/>
      </w:rPr>
      <w:fldChar w:fldCharType="begin"/>
    </w:r>
    <w:r w:rsidRPr="00892D74">
      <w:rPr>
        <w:rFonts w:cs="Tahoma"/>
        <w:b/>
        <w:lang w:val="en-US"/>
      </w:rPr>
      <w:instrText xml:space="preserve"> PAGE </w:instrText>
    </w:r>
    <w:r w:rsidR="00140E1B" w:rsidRPr="00892D74">
      <w:rPr>
        <w:rFonts w:cs="Tahoma"/>
        <w:b/>
        <w:lang w:val="en-US"/>
      </w:rPr>
      <w:fldChar w:fldCharType="separate"/>
    </w:r>
    <w:r w:rsidR="004B7EE5">
      <w:rPr>
        <w:rFonts w:cs="Tahoma"/>
        <w:b/>
        <w:noProof/>
        <w:lang w:val="en-US"/>
      </w:rPr>
      <w:t>ii</w:t>
    </w:r>
    <w:r w:rsidR="00140E1B" w:rsidRPr="00892D74">
      <w:rPr>
        <w:rFonts w:cs="Tahoma"/>
        <w:b/>
        <w:lang w:val="en-US"/>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09C" w:rsidRDefault="00140E1B">
    <w:pPr>
      <w:pStyle w:val="Footer"/>
      <w:jc w:val="right"/>
    </w:pPr>
    <w:r w:rsidRPr="00140E1B">
      <w:rPr>
        <w:noProof/>
        <w:lang w:val="en-IN" w:eastAsia="en-IN"/>
      </w:rPr>
      <w:pict>
        <v:shapetype id="_x0000_t32" coordsize="21600,21600" o:spt="32" o:oned="t" path="m,l21600,21600e" filled="f">
          <v:path arrowok="t" fillok="f" o:connecttype="none"/>
          <o:lock v:ext="edit" shapetype="t"/>
        </v:shapetype>
        <v:shape id="AutoShape 6" o:spid="_x0000_s4100" type="#_x0000_t32" style="position:absolute;left:0;text-align:left;margin-left:-9pt;margin-top:9.8pt;width:768.95pt;height:0;z-index:25172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" strokecolor="#9bbb59" strokeweight="1.5pt"/>
      </w:pict>
    </w:r>
  </w:p>
  <w:p w:rsidR="005C009C" w:rsidRPr="00696D0A" w:rsidRDefault="005C009C" w:rsidP="00037176">
    <w:pPr>
      <w:pStyle w:val="Footer"/>
      <w:tabs>
        <w:tab w:val="clear" w:pos="4320"/>
        <w:tab w:val="clear" w:pos="8640"/>
      </w:tabs>
      <w:jc w:val="left"/>
      <w:rPr>
        <w:rFonts w:cs="Tahoma"/>
        <w:sz w:val="22"/>
        <w:szCs w:val="22"/>
        <w:lang w:val="en-US"/>
      </w:rPr>
    </w:pPr>
    <w:r w:rsidRPr="005E7988">
      <w:rPr>
        <w:rFonts w:cs="Tahoma"/>
        <w:b/>
        <w:i/>
        <w:iCs/>
        <w:lang w:val="en-US"/>
      </w:rPr>
      <w:t>Puducherry Electricity Department</w:t>
    </w:r>
    <w:r>
      <w:rPr>
        <w:rFonts w:cs="Tahoma"/>
        <w:b/>
        <w:lang w:val="en-US"/>
      </w:rPr>
      <w:tab/>
    </w:r>
    <w:r>
      <w:rPr>
        <w:rFonts w:cs="Tahoma"/>
        <w:b/>
        <w:lang w:val="en-US"/>
      </w:rPr>
      <w:tab/>
    </w:r>
    <w:r>
      <w:rPr>
        <w:rFonts w:cs="Tahoma"/>
        <w:b/>
        <w:lang w:val="en-US"/>
      </w:rPr>
      <w:tab/>
    </w:r>
    <w:r>
      <w:rPr>
        <w:rFonts w:cs="Tahoma"/>
        <w:b/>
        <w:lang w:val="en-US"/>
      </w:rPr>
      <w:tab/>
    </w:r>
    <w:r>
      <w:rPr>
        <w:rFonts w:cs="Tahoma"/>
        <w:b/>
        <w:lang w:val="en-US"/>
      </w:rPr>
      <w:tab/>
    </w:r>
    <w:r>
      <w:rPr>
        <w:rFonts w:cs="Tahoma"/>
        <w:b/>
        <w:lang w:val="en-US"/>
      </w:rPr>
      <w:tab/>
    </w:r>
    <w:r>
      <w:rPr>
        <w:rFonts w:cs="Tahoma"/>
        <w:b/>
        <w:lang w:val="en-US"/>
      </w:rPr>
      <w:tab/>
    </w:r>
    <w:r>
      <w:rPr>
        <w:rFonts w:cs="Tahoma"/>
        <w:b/>
        <w:lang w:val="en-US"/>
      </w:rPr>
      <w:tab/>
    </w:r>
    <w:r>
      <w:rPr>
        <w:rFonts w:cs="Tahoma"/>
        <w:b/>
        <w:lang w:val="en-US"/>
      </w:rPr>
      <w:tab/>
    </w:r>
    <w:r>
      <w:rPr>
        <w:rFonts w:cs="Tahoma"/>
        <w:b/>
        <w:lang w:val="en-US"/>
      </w:rPr>
      <w:tab/>
    </w:r>
    <w:r>
      <w:rPr>
        <w:rFonts w:cs="Tahoma"/>
        <w:b/>
        <w:lang w:val="en-US"/>
      </w:rPr>
      <w:tab/>
    </w:r>
    <w:r>
      <w:rPr>
        <w:rFonts w:cs="Tahoma"/>
        <w:b/>
        <w:lang w:val="en-US"/>
      </w:rPr>
      <w:tab/>
    </w:r>
    <w:r>
      <w:rPr>
        <w:rFonts w:cs="Tahoma"/>
        <w:b/>
        <w:lang w:val="en-US"/>
      </w:rPr>
      <w:tab/>
    </w:r>
    <w:r>
      <w:rPr>
        <w:rFonts w:cs="Tahoma"/>
        <w:b/>
        <w:lang w:val="en-US"/>
      </w:rPr>
      <w:tab/>
    </w:r>
    <w:r>
      <w:rPr>
        <w:rFonts w:cs="Tahoma"/>
        <w:b/>
        <w:lang w:val="en-US"/>
      </w:rPr>
      <w:tab/>
    </w:r>
    <w:r w:rsidRPr="00892D74">
      <w:rPr>
        <w:rFonts w:cs="Tahoma"/>
        <w:b/>
        <w:lang w:val="en-US"/>
      </w:rPr>
      <w:t xml:space="preserve">Page </w:t>
    </w:r>
    <w:r w:rsidR="00140E1B" w:rsidRPr="00892D74">
      <w:rPr>
        <w:rFonts w:cs="Tahoma"/>
        <w:b/>
        <w:lang w:val="en-US"/>
      </w:rPr>
      <w:fldChar w:fldCharType="begin"/>
    </w:r>
    <w:r w:rsidRPr="00892D74">
      <w:rPr>
        <w:rFonts w:cs="Tahoma"/>
        <w:b/>
        <w:lang w:val="en-US"/>
      </w:rPr>
      <w:instrText xml:space="preserve"> PAGE </w:instrText>
    </w:r>
    <w:r w:rsidR="00140E1B" w:rsidRPr="00892D74">
      <w:rPr>
        <w:rFonts w:cs="Tahoma"/>
        <w:b/>
        <w:lang w:val="en-US"/>
      </w:rPr>
      <w:fldChar w:fldCharType="separate"/>
    </w:r>
    <w:r w:rsidR="004B7EE5">
      <w:rPr>
        <w:rFonts w:cs="Tahoma"/>
        <w:b/>
        <w:noProof/>
        <w:lang w:val="en-US"/>
      </w:rPr>
      <w:t>47</w:t>
    </w:r>
    <w:r w:rsidR="00140E1B" w:rsidRPr="00892D74">
      <w:rPr>
        <w:rFonts w:cs="Tahoma"/>
        <w:b/>
        <w:lang w:val="en-US"/>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09C" w:rsidRDefault="00140E1B">
    <w:pPr>
      <w:pStyle w:val="Footer"/>
      <w:jc w:val="right"/>
    </w:pPr>
    <w:r w:rsidRPr="00140E1B">
      <w:rPr>
        <w:noProof/>
        <w:lang w:val="en-IN" w:eastAsia="en-IN"/>
      </w:rPr>
      <w:pict>
        <v:shapetype id="_x0000_t32" coordsize="21600,21600" o:spt="32" o:oned="t" path="m,l21600,21600e" filled="f">
          <v:path arrowok="t" fillok="f" o:connecttype="none"/>
          <o:lock v:ext="edit" shapetype="t"/>
        </v:shapetype>
        <v:shape id="AutoShape 21" o:spid="_x0000_s4097" type="#_x0000_t32" style="position:absolute;left:0;text-align:left;margin-left:-9pt;margin-top:9.8pt;width:477.35pt;height:0;z-index:25174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" strokecolor="#9bbb59" strokeweight="1.5pt"/>
      </w:pict>
    </w:r>
  </w:p>
  <w:p w:rsidR="005C009C" w:rsidRPr="00696D0A" w:rsidRDefault="005C009C" w:rsidP="00037176">
    <w:pPr>
      <w:pStyle w:val="Footer"/>
      <w:tabs>
        <w:tab w:val="clear" w:pos="4320"/>
        <w:tab w:val="clear" w:pos="8640"/>
      </w:tabs>
      <w:jc w:val="left"/>
      <w:rPr>
        <w:rFonts w:cs="Tahoma"/>
        <w:sz w:val="22"/>
        <w:szCs w:val="22"/>
        <w:lang w:val="en-US"/>
      </w:rPr>
    </w:pPr>
    <w:r w:rsidRPr="005E7988">
      <w:rPr>
        <w:rFonts w:cs="Tahoma"/>
        <w:b/>
        <w:i/>
        <w:iCs/>
        <w:lang w:val="en-US"/>
      </w:rPr>
      <w:t>Puducherry Electricity Department</w:t>
    </w:r>
    <w:r>
      <w:rPr>
        <w:rFonts w:cs="Tahoma"/>
        <w:b/>
        <w:i/>
        <w:iCs/>
        <w:lang w:val="en-US"/>
      </w:rPr>
      <w:tab/>
    </w:r>
    <w:r>
      <w:rPr>
        <w:rFonts w:cs="Tahoma"/>
        <w:b/>
        <w:i/>
        <w:iCs/>
        <w:lang w:val="en-US"/>
      </w:rPr>
      <w:tab/>
    </w:r>
    <w:r>
      <w:rPr>
        <w:rFonts w:cs="Tahoma"/>
        <w:b/>
        <w:lang w:val="en-US"/>
      </w:rPr>
      <w:tab/>
    </w:r>
    <w:r>
      <w:rPr>
        <w:rFonts w:cs="Tahoma"/>
        <w:b/>
        <w:lang w:val="en-US"/>
      </w:rPr>
      <w:tab/>
    </w:r>
    <w:r>
      <w:rPr>
        <w:rFonts w:cs="Tahoma"/>
        <w:b/>
        <w:lang w:val="en-US"/>
      </w:rPr>
      <w:tab/>
    </w:r>
    <w:r>
      <w:rPr>
        <w:rFonts w:cs="Tahoma"/>
        <w:b/>
        <w:lang w:val="en-US"/>
      </w:rPr>
      <w:tab/>
    </w:r>
    <w:r>
      <w:rPr>
        <w:rFonts w:cs="Tahoma"/>
        <w:b/>
        <w:lang w:val="en-US"/>
      </w:rPr>
      <w:tab/>
    </w:r>
    <w:r w:rsidRPr="00892D74">
      <w:rPr>
        <w:rFonts w:cs="Tahoma"/>
        <w:b/>
        <w:lang w:val="en-US"/>
      </w:rPr>
      <w:t xml:space="preserve">Page </w:t>
    </w:r>
    <w:r w:rsidR="00140E1B" w:rsidRPr="00892D74">
      <w:rPr>
        <w:rFonts w:cs="Tahoma"/>
        <w:b/>
        <w:lang w:val="en-US"/>
      </w:rPr>
      <w:fldChar w:fldCharType="begin"/>
    </w:r>
    <w:r w:rsidRPr="00892D74">
      <w:rPr>
        <w:rFonts w:cs="Tahoma"/>
        <w:b/>
        <w:lang w:val="en-US"/>
      </w:rPr>
      <w:instrText xml:space="preserve"> PAGE </w:instrText>
    </w:r>
    <w:r w:rsidR="00140E1B" w:rsidRPr="00892D74">
      <w:rPr>
        <w:rFonts w:cs="Tahoma"/>
        <w:b/>
        <w:lang w:val="en-US"/>
      </w:rPr>
      <w:fldChar w:fldCharType="separate"/>
    </w:r>
    <w:r w:rsidR="004B7EE5">
      <w:rPr>
        <w:rFonts w:cs="Tahoma"/>
        <w:b/>
        <w:noProof/>
        <w:lang w:val="en-US"/>
      </w:rPr>
      <w:t>63</w:t>
    </w:r>
    <w:r w:rsidR="00140E1B" w:rsidRPr="00892D74">
      <w:rPr>
        <w:rFonts w:cs="Tahoma"/>
        <w:b/>
        <w:lang w:val="en-US"/>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5109" w:rsidRDefault="00315109">
      <w:r>
        <w:separator/>
      </w:r>
    </w:p>
  </w:footnote>
  <w:footnote w:type="continuationSeparator" w:id="1">
    <w:p w:rsidR="00315109" w:rsidRDefault="00315109">
      <w:r>
        <w:continuationSeparator/>
      </w:r>
    </w:p>
  </w:footnote>
  <w:footnote w:id="2">
    <w:p w:rsidR="005C009C" w:rsidRDefault="005C009C" w:rsidP="0067067B">
      <w:pPr>
        <w:pStyle w:val="FootnoteText"/>
        <w:ind w:left="180" w:firstLine="0"/>
      </w:pPr>
      <w:r>
        <w:rPr>
          <w:rStyle w:val="FootnoteReference"/>
        </w:rPr>
        <w:footnoteRef/>
      </w:r>
      <w:r>
        <w:t xml:space="preserve"> EE – Executive Engineer; FC – Financial Controller; AEE – Assistant Executive Engineer; AE – Assistant Engineer; OSD – Officer on Special Duty; LO – Labour Officer; SAO – Senior Accounts Officer: JAO – Junior Accounts Officer; SS – Stores Superintendent; APTS – Anti Power Theft Squad; WAP – Works and Pricing Section; MRT – Meter and Relay testing; FCC – Feeder Construction and Commercial; HTM – HT Metering; LTM – LT Metering</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09C" w:rsidRDefault="005C009C">
    <w:pPr>
      <w:pStyle w:val="Header"/>
      <w:jc w:val="right"/>
    </w:pPr>
  </w:p>
  <w:p w:rsidR="005C009C" w:rsidRDefault="005C009C">
    <w:pPr>
      <w:pStyle w:val="Header"/>
      <w:jc w:val="right"/>
    </w:pPr>
  </w:p>
  <w:p w:rsidR="005C009C" w:rsidRDefault="005C009C">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09C" w:rsidRDefault="005C009C" w:rsidP="00E9681F">
    <w:pPr>
      <w:pStyle w:val="Header"/>
      <w:rPr>
        <w:b/>
        <w:noProof/>
        <w:lang w:val="en-US"/>
      </w:rPr>
    </w:pPr>
  </w:p>
  <w:p w:rsidR="005C009C" w:rsidRPr="00E9681F" w:rsidRDefault="00140E1B" w:rsidP="0025252A">
    <w:pPr>
      <w:pStyle w:val="Header"/>
      <w:tabs>
        <w:tab w:val="left" w:pos="2282"/>
      </w:tabs>
      <w:rPr>
        <w:b/>
      </w:rPr>
    </w:pPr>
    <w:r w:rsidRPr="00140E1B">
      <w:rPr>
        <w:b/>
        <w:noProof/>
        <w:lang w:val="en-IN" w:eastAsia="en-IN"/>
      </w:rPr>
      <w:pict>
        <v:shapetype id="_x0000_t202" coordsize="21600,21600" o:spt="202" path="m,l,21600r21600,l21600,xe">
          <v:stroke joinstyle="miter"/>
          <v:path gradientshapeok="t" o:connecttype="rect"/>
        </v:shapetype>
        <v:shape id="Text Box 4" o:spid="_x0000_s4105" type="#_x0000_t202" style="position:absolute;left:0;text-align:left;margin-left:150pt;margin-top:7pt;width:327pt;height:23.25pt;z-index:251727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" stroked="f">
          <v:textbox>
            <w:txbxContent>
              <w:p w:rsidR="005C009C" w:rsidRPr="00CD2785" w:rsidRDefault="005C009C" w:rsidP="00ED228A">
                <w:pPr>
                  <w:pStyle w:val="Header"/>
                  <w:rPr>
                    <w:b/>
                  </w:rPr>
                </w:pPr>
                <w:r>
                  <w:rPr>
                    <w:b/>
                  </w:rPr>
                  <w:t>Business Plan for the Control Period FY 2019-20 to FY 2021-22</w:t>
                </w:r>
              </w:p>
              <w:p w:rsidR="005C009C" w:rsidRPr="00BE33C9" w:rsidRDefault="005C009C" w:rsidP="00ED228A">
                <w:pPr>
                  <w:rPr>
                    <w:sz w:val="26"/>
                    <w:szCs w:val="26"/>
                  </w:rPr>
                </w:pPr>
              </w:p>
            </w:txbxContent>
          </v:textbox>
        </v:shape>
      </w:pict>
    </w:r>
    <w:r w:rsidRPr="00140E1B">
      <w:rPr>
        <w:noProof/>
        <w:sz w:val="20"/>
        <w:lang w:val="en-IN" w:eastAsia="en-IN"/>
      </w:rPr>
      <w:pict>
        <v:line id="Line 1" o:spid="_x0000_s4104" style="position:absolute;left:0;text-align:left;z-index:251722240;visibility:visible" from="-12.75pt,34.2pt" to="468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" strokecolor="#9bbb59" strokeweight="1.25pt"/>
      </w:pict>
    </w:r>
    <w:r w:rsidR="005C009C" w:rsidRPr="00E9681F">
      <w:rPr>
        <w:b/>
        <w:noProof/>
        <w:lang w:val="en-US"/>
      </w:rPr>
      <w:tab/>
    </w:r>
    <w:r w:rsidR="005C009C">
      <w:rPr>
        <w:b/>
        <w:noProof/>
        <w:lang w:val="en-US"/>
      </w:rPr>
      <w:tab/>
    </w:r>
    <w:r w:rsidR="005C009C">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09C" w:rsidRDefault="00140E1B" w:rsidP="00E9681F">
    <w:pPr>
      <w:pStyle w:val="Header"/>
      <w:rPr>
        <w:b/>
        <w:noProof/>
        <w:lang w:val="en-US"/>
      </w:rPr>
    </w:pPr>
    <w:r w:rsidRPr="00140E1B">
      <w:rPr>
        <w:b/>
        <w:noProof/>
        <w:lang w:val="en-IN" w:eastAsia="en-IN"/>
      </w:rPr>
      <w:pict>
        <v:shapetype id="_x0000_t202" coordsize="21600,21600" o:spt="202" path="m,l,21600r21600,l21600,xe">
          <v:stroke joinstyle="miter"/>
          <v:path gradientshapeok="t" o:connecttype="rect"/>
        </v:shapetype>
        <v:shape id="Text Box 8" o:spid="_x0000_s4102" type="#_x0000_t202" style="position:absolute;left:0;text-align:left;margin-left:177.55pt;margin-top:11.85pt;width:331.1pt;height:23.25pt;z-index:251732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" stroked="f">
          <v:textbox>
            <w:txbxContent>
              <w:p w:rsidR="005C009C" w:rsidRPr="00CD2785" w:rsidRDefault="005C009C" w:rsidP="00ED228A">
                <w:pPr>
                  <w:pStyle w:val="Header"/>
                  <w:rPr>
                    <w:b/>
                  </w:rPr>
                </w:pPr>
                <w:r>
                  <w:rPr>
                    <w:b/>
                  </w:rPr>
                  <w:t xml:space="preserve"> Business Plan for the Control Period FY 2019-20 to FY 2021-22</w:t>
                </w:r>
              </w:p>
              <w:p w:rsidR="005C009C" w:rsidRPr="00BE33C9" w:rsidRDefault="005C009C" w:rsidP="00ED228A">
                <w:pPr>
                  <w:rPr>
                    <w:sz w:val="26"/>
                    <w:szCs w:val="26"/>
                  </w:rPr>
                </w:pPr>
              </w:p>
            </w:txbxContent>
          </v:textbox>
        </v:shape>
      </w:pict>
    </w:r>
  </w:p>
  <w:p w:rsidR="005C009C" w:rsidRPr="00E9681F" w:rsidRDefault="00140E1B" w:rsidP="00E9681F">
    <w:pPr>
      <w:pStyle w:val="Header"/>
      <w:rPr>
        <w:b/>
      </w:rPr>
    </w:pPr>
    <w:r w:rsidRPr="00140E1B">
      <w:rPr>
        <w:noProof/>
        <w:sz w:val="20"/>
        <w:lang w:val="en-IN" w:eastAsia="en-IN"/>
      </w:rPr>
      <w:pict>
        <v:line id="Line 7" o:spid="_x0000_s4101" style="position:absolute;left:0;text-align:left;z-index:251731456;visibility:visible" from="-12.75pt,24.25pt" to="756.2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" strokecolor="#9bbb59" strokeweight="1.25pt"/>
      </w:pict>
    </w:r>
    <w:r w:rsidR="005C009C" w:rsidRPr="00E9681F">
      <w:rPr>
        <w:b/>
        <w:noProof/>
        <w:lang w:val="en-US"/>
      </w:rPr>
      <w:tab/>
    </w:r>
    <w:r w:rsidR="005C009C">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09C" w:rsidRDefault="00140E1B" w:rsidP="00E9681F">
    <w:pPr>
      <w:pStyle w:val="Header"/>
      <w:rPr>
        <w:b/>
        <w:noProof/>
        <w:lang w:val="en-US"/>
      </w:rPr>
    </w:pPr>
    <w:r w:rsidRPr="00140E1B">
      <w:rPr>
        <w:b/>
        <w:noProof/>
        <w:lang w:val="en-IN" w:eastAsia="en-IN"/>
      </w:rPr>
      <w:pict>
        <v:shapetype id="_x0000_t202" coordsize="21600,21600" o:spt="202" path="m,l,21600r21600,l21600,xe">
          <v:stroke joinstyle="miter"/>
          <v:path gradientshapeok="t" o:connecttype="rect"/>
        </v:shapetype>
        <v:shape id="Text Box 20" o:spid="_x0000_s4099" type="#_x0000_t202" style="position:absolute;left:0;text-align:left;margin-left:143.7pt;margin-top:.65pt;width:331.35pt;height:23.25pt;z-index:251745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" stroked="f">
          <v:textbox>
            <w:txbxContent>
              <w:p w:rsidR="005C009C" w:rsidRPr="00CD2785" w:rsidRDefault="005C009C" w:rsidP="00ED228A">
                <w:pPr>
                  <w:pStyle w:val="Header"/>
                  <w:rPr>
                    <w:b/>
                  </w:rPr>
                </w:pPr>
                <w:r>
                  <w:rPr>
                    <w:b/>
                  </w:rPr>
                  <w:t xml:space="preserve">  Business Plan for the Control Period FY 2015-16 to FY 2017-18</w:t>
                </w:r>
              </w:p>
              <w:p w:rsidR="005C009C" w:rsidRPr="00BE33C9" w:rsidRDefault="005C009C" w:rsidP="00ED228A">
                <w:pPr>
                  <w:rPr>
                    <w:sz w:val="26"/>
                    <w:szCs w:val="26"/>
                  </w:rPr>
                </w:pPr>
              </w:p>
            </w:txbxContent>
          </v:textbox>
        </v:shape>
      </w:pict>
    </w:r>
  </w:p>
  <w:p w:rsidR="005C009C" w:rsidRPr="00E9681F" w:rsidRDefault="00140E1B" w:rsidP="00E9681F">
    <w:pPr>
      <w:pStyle w:val="Header"/>
      <w:rPr>
        <w:b/>
      </w:rPr>
    </w:pPr>
    <w:r w:rsidRPr="00140E1B">
      <w:rPr>
        <w:noProof/>
        <w:sz w:val="20"/>
        <w:lang w:val="en-IN" w:eastAsia="en-IN"/>
      </w:rPr>
      <w:pict>
        <v:line id="Line 19" o:spid="_x0000_s4098" style="position:absolute;left:0;text-align:left;z-index:251744768;visibility:visible" from="-12.75pt,24.25pt" to="464.6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" strokecolor="#9bbb59" strokeweight="1.25pt"/>
      </w:pict>
    </w:r>
    <w:r w:rsidR="005C009C" w:rsidRPr="00E9681F">
      <w:rPr>
        <w:b/>
        <w:noProof/>
        <w:lang w:val="en-US"/>
      </w:rPr>
      <w:tab/>
    </w:r>
    <w:r w:rsidR="005C009C">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F0556"/>
    <w:multiLevelType w:val="hybridMultilevel"/>
    <w:tmpl w:val="BA42E432"/>
    <w:lvl w:ilvl="0" w:tplc="4009000F">
      <w:start w:val="1"/>
      <w:numFmt w:val="decimal"/>
      <w:lvlText w:val="%1."/>
      <w:lvlJc w:val="left"/>
      <w:pPr>
        <w:tabs>
          <w:tab w:val="num" w:pos="1440"/>
        </w:tabs>
        <w:ind w:left="1440" w:hanging="360"/>
      </w:pPr>
      <w:rPr>
        <w:rFonts w:hint="default"/>
      </w:rPr>
    </w:lvl>
    <w:lvl w:ilvl="1" w:tplc="7CCAF8FA" w:tentative="1">
      <w:start w:val="1"/>
      <w:numFmt w:val="bullet"/>
      <w:lvlText w:val="•"/>
      <w:lvlJc w:val="left"/>
      <w:pPr>
        <w:tabs>
          <w:tab w:val="num" w:pos="2160"/>
        </w:tabs>
        <w:ind w:left="2160" w:hanging="360"/>
      </w:pPr>
      <w:rPr>
        <w:rFonts w:ascii="Arial" w:hAnsi="Arial" w:hint="default"/>
      </w:rPr>
    </w:lvl>
    <w:lvl w:ilvl="2" w:tplc="390E1BB0" w:tentative="1">
      <w:start w:val="1"/>
      <w:numFmt w:val="bullet"/>
      <w:lvlText w:val="•"/>
      <w:lvlJc w:val="left"/>
      <w:pPr>
        <w:tabs>
          <w:tab w:val="num" w:pos="2880"/>
        </w:tabs>
        <w:ind w:left="2880" w:hanging="360"/>
      </w:pPr>
      <w:rPr>
        <w:rFonts w:ascii="Arial" w:hAnsi="Arial" w:hint="default"/>
      </w:rPr>
    </w:lvl>
    <w:lvl w:ilvl="3" w:tplc="71A08CAE" w:tentative="1">
      <w:start w:val="1"/>
      <w:numFmt w:val="bullet"/>
      <w:lvlText w:val="•"/>
      <w:lvlJc w:val="left"/>
      <w:pPr>
        <w:tabs>
          <w:tab w:val="num" w:pos="3600"/>
        </w:tabs>
        <w:ind w:left="3600" w:hanging="360"/>
      </w:pPr>
      <w:rPr>
        <w:rFonts w:ascii="Arial" w:hAnsi="Arial" w:hint="default"/>
      </w:rPr>
    </w:lvl>
    <w:lvl w:ilvl="4" w:tplc="8E90B68C" w:tentative="1">
      <w:start w:val="1"/>
      <w:numFmt w:val="bullet"/>
      <w:lvlText w:val="•"/>
      <w:lvlJc w:val="left"/>
      <w:pPr>
        <w:tabs>
          <w:tab w:val="num" w:pos="4320"/>
        </w:tabs>
        <w:ind w:left="4320" w:hanging="360"/>
      </w:pPr>
      <w:rPr>
        <w:rFonts w:ascii="Arial" w:hAnsi="Arial" w:hint="default"/>
      </w:rPr>
    </w:lvl>
    <w:lvl w:ilvl="5" w:tplc="972CED5C" w:tentative="1">
      <w:start w:val="1"/>
      <w:numFmt w:val="bullet"/>
      <w:lvlText w:val="•"/>
      <w:lvlJc w:val="left"/>
      <w:pPr>
        <w:tabs>
          <w:tab w:val="num" w:pos="5040"/>
        </w:tabs>
        <w:ind w:left="5040" w:hanging="360"/>
      </w:pPr>
      <w:rPr>
        <w:rFonts w:ascii="Arial" w:hAnsi="Arial" w:hint="default"/>
      </w:rPr>
    </w:lvl>
    <w:lvl w:ilvl="6" w:tplc="7E585A0A" w:tentative="1">
      <w:start w:val="1"/>
      <w:numFmt w:val="bullet"/>
      <w:lvlText w:val="•"/>
      <w:lvlJc w:val="left"/>
      <w:pPr>
        <w:tabs>
          <w:tab w:val="num" w:pos="5760"/>
        </w:tabs>
        <w:ind w:left="5760" w:hanging="360"/>
      </w:pPr>
      <w:rPr>
        <w:rFonts w:ascii="Arial" w:hAnsi="Arial" w:hint="default"/>
      </w:rPr>
    </w:lvl>
    <w:lvl w:ilvl="7" w:tplc="B8CC15CE" w:tentative="1">
      <w:start w:val="1"/>
      <w:numFmt w:val="bullet"/>
      <w:lvlText w:val="•"/>
      <w:lvlJc w:val="left"/>
      <w:pPr>
        <w:tabs>
          <w:tab w:val="num" w:pos="6480"/>
        </w:tabs>
        <w:ind w:left="6480" w:hanging="360"/>
      </w:pPr>
      <w:rPr>
        <w:rFonts w:ascii="Arial" w:hAnsi="Arial" w:hint="default"/>
      </w:rPr>
    </w:lvl>
    <w:lvl w:ilvl="8" w:tplc="C29A08D2" w:tentative="1">
      <w:start w:val="1"/>
      <w:numFmt w:val="bullet"/>
      <w:lvlText w:val="•"/>
      <w:lvlJc w:val="left"/>
      <w:pPr>
        <w:tabs>
          <w:tab w:val="num" w:pos="7200"/>
        </w:tabs>
        <w:ind w:left="7200" w:hanging="360"/>
      </w:pPr>
      <w:rPr>
        <w:rFonts w:ascii="Arial" w:hAnsi="Arial" w:hint="default"/>
      </w:rPr>
    </w:lvl>
  </w:abstractNum>
  <w:abstractNum w:abstractNumId="1">
    <w:nsid w:val="0D6D4912"/>
    <w:multiLevelType w:val="hybridMultilevel"/>
    <w:tmpl w:val="DCEABF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ED77C34"/>
    <w:multiLevelType w:val="hybridMultilevel"/>
    <w:tmpl w:val="502C1F3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7BA7B32"/>
    <w:multiLevelType w:val="hybridMultilevel"/>
    <w:tmpl w:val="71961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C21540"/>
    <w:multiLevelType w:val="hybridMultilevel"/>
    <w:tmpl w:val="DD3CF51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
    <w:nsid w:val="18867115"/>
    <w:multiLevelType w:val="hybridMultilevel"/>
    <w:tmpl w:val="FB9C28B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
    <w:nsid w:val="1C4E1FB4"/>
    <w:multiLevelType w:val="hybridMultilevel"/>
    <w:tmpl w:val="DEB2E8FE"/>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7">
    <w:nsid w:val="1FEF41F8"/>
    <w:multiLevelType w:val="hybridMultilevel"/>
    <w:tmpl w:val="375639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25223B6E"/>
    <w:multiLevelType w:val="hybridMultilevel"/>
    <w:tmpl w:val="78746E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6E83A09"/>
    <w:multiLevelType w:val="hybridMultilevel"/>
    <w:tmpl w:val="482C53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287B3BE6"/>
    <w:multiLevelType w:val="multilevel"/>
    <w:tmpl w:val="75D008DC"/>
    <w:lvl w:ilvl="0">
      <w:start w:val="1"/>
      <w:numFmt w:val="decimal"/>
      <w:pStyle w:val="Heading1"/>
      <w:lvlText w:val="Chapter %1."/>
      <w:lvlJc w:val="left"/>
      <w:pPr>
        <w:tabs>
          <w:tab w:val="num" w:pos="3312"/>
        </w:tabs>
        <w:ind w:left="3312" w:hanging="432"/>
      </w:pPr>
      <w:rPr>
        <w:rFonts w:ascii="Calibri" w:hAnsi="Calibri" w:hint="default"/>
        <w:b/>
        <w:i w:val="0"/>
        <w:sz w:val="24"/>
      </w:rPr>
    </w:lvl>
    <w:lvl w:ilvl="1">
      <w:start w:val="1"/>
      <w:numFmt w:val="decimal"/>
      <w:pStyle w:val="Heading2"/>
      <w:lvlText w:val="%1.%2"/>
      <w:lvlJc w:val="left"/>
      <w:pPr>
        <w:tabs>
          <w:tab w:val="num" w:pos="576"/>
        </w:tabs>
        <w:ind w:left="576" w:hanging="576"/>
      </w:pPr>
      <w:rPr>
        <w:rFonts w:ascii="Calibri" w:hAnsi="Calibri" w:hint="default"/>
        <w:b/>
        <w:i w:val="0"/>
        <w:sz w:val="24"/>
        <w:szCs w:val="24"/>
      </w:rPr>
    </w:lvl>
    <w:lvl w:ilvl="2">
      <w:start w:val="1"/>
      <w:numFmt w:val="decimal"/>
      <w:pStyle w:val="Heading3"/>
      <w:lvlText w:val="%1.%2.%3"/>
      <w:lvlJc w:val="left"/>
      <w:pPr>
        <w:tabs>
          <w:tab w:val="num" w:pos="1260"/>
        </w:tabs>
        <w:ind w:left="126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pStyle w:val="Heading4"/>
      <w:lvlText w:val="%1.%2.%3.%4"/>
      <w:lvlJc w:val="left"/>
      <w:pPr>
        <w:tabs>
          <w:tab w:val="num" w:pos="936"/>
        </w:tabs>
        <w:ind w:left="936" w:hanging="936"/>
      </w:pPr>
      <w:rPr>
        <w:rFonts w:ascii="Calibri" w:hAnsi="Calibri" w:hint="default"/>
        <w:b w:val="0"/>
        <w:i w:val="0"/>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2E6F193E"/>
    <w:multiLevelType w:val="hybridMultilevel"/>
    <w:tmpl w:val="38DA4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E8A1FAD"/>
    <w:multiLevelType w:val="hybridMultilevel"/>
    <w:tmpl w:val="C61805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4073000"/>
    <w:multiLevelType w:val="hybridMultilevel"/>
    <w:tmpl w:val="413E7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A24D06"/>
    <w:multiLevelType w:val="hybridMultilevel"/>
    <w:tmpl w:val="502C1F3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CD030B8"/>
    <w:multiLevelType w:val="hybridMultilevel"/>
    <w:tmpl w:val="502C1F3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50643E3"/>
    <w:multiLevelType w:val="hybridMultilevel"/>
    <w:tmpl w:val="56EAA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416F58"/>
    <w:multiLevelType w:val="hybridMultilevel"/>
    <w:tmpl w:val="B38800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AC52BC2"/>
    <w:multiLevelType w:val="hybridMultilevel"/>
    <w:tmpl w:val="DF3ED81A"/>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19">
    <w:nsid w:val="4E2650EF"/>
    <w:multiLevelType w:val="hybridMultilevel"/>
    <w:tmpl w:val="115AFEC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0">
    <w:nsid w:val="51323100"/>
    <w:multiLevelType w:val="hybridMultilevel"/>
    <w:tmpl w:val="01BAAF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A454311"/>
    <w:multiLevelType w:val="hybridMultilevel"/>
    <w:tmpl w:val="3D88ED9C"/>
    <w:lvl w:ilvl="0" w:tplc="0A7805B0">
      <w:start w:val="1"/>
      <w:numFmt w:val="bullet"/>
      <w:lvlText w:val="•"/>
      <w:lvlJc w:val="left"/>
      <w:pPr>
        <w:tabs>
          <w:tab w:val="num" w:pos="1440"/>
        </w:tabs>
        <w:ind w:left="1440" w:hanging="360"/>
      </w:pPr>
      <w:rPr>
        <w:rFonts w:ascii="Arial" w:hAnsi="Arial" w:hint="default"/>
      </w:rPr>
    </w:lvl>
    <w:lvl w:ilvl="1" w:tplc="7CCAF8FA" w:tentative="1">
      <w:start w:val="1"/>
      <w:numFmt w:val="bullet"/>
      <w:lvlText w:val="•"/>
      <w:lvlJc w:val="left"/>
      <w:pPr>
        <w:tabs>
          <w:tab w:val="num" w:pos="2160"/>
        </w:tabs>
        <w:ind w:left="2160" w:hanging="360"/>
      </w:pPr>
      <w:rPr>
        <w:rFonts w:ascii="Arial" w:hAnsi="Arial" w:hint="default"/>
      </w:rPr>
    </w:lvl>
    <w:lvl w:ilvl="2" w:tplc="390E1BB0" w:tentative="1">
      <w:start w:val="1"/>
      <w:numFmt w:val="bullet"/>
      <w:lvlText w:val="•"/>
      <w:lvlJc w:val="left"/>
      <w:pPr>
        <w:tabs>
          <w:tab w:val="num" w:pos="2880"/>
        </w:tabs>
        <w:ind w:left="2880" w:hanging="360"/>
      </w:pPr>
      <w:rPr>
        <w:rFonts w:ascii="Arial" w:hAnsi="Arial" w:hint="default"/>
      </w:rPr>
    </w:lvl>
    <w:lvl w:ilvl="3" w:tplc="71A08CAE" w:tentative="1">
      <w:start w:val="1"/>
      <w:numFmt w:val="bullet"/>
      <w:lvlText w:val="•"/>
      <w:lvlJc w:val="left"/>
      <w:pPr>
        <w:tabs>
          <w:tab w:val="num" w:pos="3600"/>
        </w:tabs>
        <w:ind w:left="3600" w:hanging="360"/>
      </w:pPr>
      <w:rPr>
        <w:rFonts w:ascii="Arial" w:hAnsi="Arial" w:hint="default"/>
      </w:rPr>
    </w:lvl>
    <w:lvl w:ilvl="4" w:tplc="8E90B68C" w:tentative="1">
      <w:start w:val="1"/>
      <w:numFmt w:val="bullet"/>
      <w:lvlText w:val="•"/>
      <w:lvlJc w:val="left"/>
      <w:pPr>
        <w:tabs>
          <w:tab w:val="num" w:pos="4320"/>
        </w:tabs>
        <w:ind w:left="4320" w:hanging="360"/>
      </w:pPr>
      <w:rPr>
        <w:rFonts w:ascii="Arial" w:hAnsi="Arial" w:hint="default"/>
      </w:rPr>
    </w:lvl>
    <w:lvl w:ilvl="5" w:tplc="972CED5C" w:tentative="1">
      <w:start w:val="1"/>
      <w:numFmt w:val="bullet"/>
      <w:lvlText w:val="•"/>
      <w:lvlJc w:val="left"/>
      <w:pPr>
        <w:tabs>
          <w:tab w:val="num" w:pos="5040"/>
        </w:tabs>
        <w:ind w:left="5040" w:hanging="360"/>
      </w:pPr>
      <w:rPr>
        <w:rFonts w:ascii="Arial" w:hAnsi="Arial" w:hint="default"/>
      </w:rPr>
    </w:lvl>
    <w:lvl w:ilvl="6" w:tplc="7E585A0A" w:tentative="1">
      <w:start w:val="1"/>
      <w:numFmt w:val="bullet"/>
      <w:lvlText w:val="•"/>
      <w:lvlJc w:val="left"/>
      <w:pPr>
        <w:tabs>
          <w:tab w:val="num" w:pos="5760"/>
        </w:tabs>
        <w:ind w:left="5760" w:hanging="360"/>
      </w:pPr>
      <w:rPr>
        <w:rFonts w:ascii="Arial" w:hAnsi="Arial" w:hint="default"/>
      </w:rPr>
    </w:lvl>
    <w:lvl w:ilvl="7" w:tplc="B8CC15CE" w:tentative="1">
      <w:start w:val="1"/>
      <w:numFmt w:val="bullet"/>
      <w:lvlText w:val="•"/>
      <w:lvlJc w:val="left"/>
      <w:pPr>
        <w:tabs>
          <w:tab w:val="num" w:pos="6480"/>
        </w:tabs>
        <w:ind w:left="6480" w:hanging="360"/>
      </w:pPr>
      <w:rPr>
        <w:rFonts w:ascii="Arial" w:hAnsi="Arial" w:hint="default"/>
      </w:rPr>
    </w:lvl>
    <w:lvl w:ilvl="8" w:tplc="C29A08D2" w:tentative="1">
      <w:start w:val="1"/>
      <w:numFmt w:val="bullet"/>
      <w:lvlText w:val="•"/>
      <w:lvlJc w:val="left"/>
      <w:pPr>
        <w:tabs>
          <w:tab w:val="num" w:pos="7200"/>
        </w:tabs>
        <w:ind w:left="7200" w:hanging="360"/>
      </w:pPr>
      <w:rPr>
        <w:rFonts w:ascii="Arial" w:hAnsi="Arial" w:hint="default"/>
      </w:rPr>
    </w:lvl>
  </w:abstractNum>
  <w:abstractNum w:abstractNumId="22">
    <w:nsid w:val="5E61010D"/>
    <w:multiLevelType w:val="hybridMultilevel"/>
    <w:tmpl w:val="0E145D9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3">
    <w:nsid w:val="5E8B3324"/>
    <w:multiLevelType w:val="hybridMultilevel"/>
    <w:tmpl w:val="46EC2DC4"/>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24">
    <w:nsid w:val="64DD4DC5"/>
    <w:multiLevelType w:val="multilevel"/>
    <w:tmpl w:val="21BA5DC6"/>
    <w:lvl w:ilvl="0">
      <w:start w:val="1"/>
      <w:numFmt w:val="decimal"/>
      <w:pStyle w:val="ED-H1"/>
      <w:lvlText w:val="%1."/>
      <w:lvlJc w:val="left"/>
      <w:pPr>
        <w:tabs>
          <w:tab w:val="num" w:pos="720"/>
        </w:tabs>
        <w:ind w:left="720" w:hanging="720"/>
      </w:pPr>
      <w:rPr>
        <w:rFonts w:ascii="Calibri" w:hAnsi="Calibri" w:cs="Calibri" w:hint="default"/>
        <w:b/>
        <w:i w:val="0"/>
        <w:sz w:val="24"/>
      </w:rPr>
    </w:lvl>
    <w:lvl w:ilvl="1">
      <w:start w:val="1"/>
      <w:numFmt w:val="decimal"/>
      <w:pStyle w:val="ED-H2"/>
      <w:lvlText w:val="%1.%2"/>
      <w:lvlJc w:val="left"/>
      <w:pPr>
        <w:tabs>
          <w:tab w:val="num" w:pos="720"/>
        </w:tabs>
        <w:ind w:left="720" w:hanging="720"/>
      </w:pPr>
      <w:rPr>
        <w:rFonts w:ascii="Calibri" w:hAnsi="Calibri" w:cs="Calibri"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ED-H3"/>
      <w:lvlText w:val="%1.%2.%3"/>
      <w:lvlJc w:val="left"/>
      <w:pPr>
        <w:tabs>
          <w:tab w:val="num" w:pos="720"/>
        </w:tabs>
        <w:ind w:left="720" w:hanging="720"/>
      </w:pPr>
      <w:rPr>
        <w:rFonts w:ascii="Calibri" w:hAnsi="Calibri" w:cs="Calibri" w:hint="default"/>
        <w:b w:val="0"/>
        <w:i w:val="0"/>
        <w:sz w:val="24"/>
      </w:rPr>
    </w:lvl>
    <w:lvl w:ilvl="3">
      <w:start w:val="1"/>
      <w:numFmt w:val="decimal"/>
      <w:pStyle w:val="ED-H4"/>
      <w:lvlText w:val="%1.%2.%3.%4"/>
      <w:lvlJc w:val="left"/>
      <w:pPr>
        <w:tabs>
          <w:tab w:val="num" w:pos="1080"/>
        </w:tabs>
        <w:ind w:left="1080" w:hanging="1080"/>
      </w:pPr>
      <w:rPr>
        <w:rFonts w:ascii="Calibri" w:hAnsi="Calibri" w:cs="Calibri" w:hint="default"/>
        <w:b w:val="0"/>
        <w:i w:val="0"/>
        <w:sz w:val="24"/>
      </w:rPr>
    </w:lvl>
    <w:lvl w:ilvl="4">
      <w:start w:val="1"/>
      <w:numFmt w:val="decimal"/>
      <w:pStyle w:val="Heading5"/>
      <w:lvlText w:val="%1.%2.%3.%4.%5"/>
      <w:lvlJc w:val="left"/>
      <w:pPr>
        <w:tabs>
          <w:tab w:val="num" w:pos="720"/>
        </w:tabs>
        <w:ind w:left="720" w:hanging="720"/>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5">
    <w:nsid w:val="67197FF0"/>
    <w:multiLevelType w:val="hybridMultilevel"/>
    <w:tmpl w:val="BDF051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7C70C46"/>
    <w:multiLevelType w:val="hybridMultilevel"/>
    <w:tmpl w:val="FB440E32"/>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27">
    <w:nsid w:val="6B4C0565"/>
    <w:multiLevelType w:val="hybridMultilevel"/>
    <w:tmpl w:val="49E65C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7211566B"/>
    <w:multiLevelType w:val="hybridMultilevel"/>
    <w:tmpl w:val="FDC29880"/>
    <w:lvl w:ilvl="0" w:tplc="0BAAC9E4">
      <w:start w:val="1"/>
      <w:numFmt w:val="lowerRoman"/>
      <w:lvlText w:val="%1."/>
      <w:lvlJc w:val="right"/>
      <w:pPr>
        <w:tabs>
          <w:tab w:val="num" w:pos="1440"/>
        </w:tabs>
        <w:ind w:left="1440" w:hanging="360"/>
      </w:pPr>
      <w:rPr>
        <w:rFonts w:hint="default"/>
        <w:b w:val="0"/>
        <w:bCs/>
      </w:rPr>
    </w:lvl>
    <w:lvl w:ilvl="1" w:tplc="7CCAF8FA" w:tentative="1">
      <w:start w:val="1"/>
      <w:numFmt w:val="bullet"/>
      <w:lvlText w:val="•"/>
      <w:lvlJc w:val="left"/>
      <w:pPr>
        <w:tabs>
          <w:tab w:val="num" w:pos="2160"/>
        </w:tabs>
        <w:ind w:left="2160" w:hanging="360"/>
      </w:pPr>
      <w:rPr>
        <w:rFonts w:ascii="Arial" w:hAnsi="Arial" w:hint="default"/>
      </w:rPr>
    </w:lvl>
    <w:lvl w:ilvl="2" w:tplc="390E1BB0" w:tentative="1">
      <w:start w:val="1"/>
      <w:numFmt w:val="bullet"/>
      <w:lvlText w:val="•"/>
      <w:lvlJc w:val="left"/>
      <w:pPr>
        <w:tabs>
          <w:tab w:val="num" w:pos="2880"/>
        </w:tabs>
        <w:ind w:left="2880" w:hanging="360"/>
      </w:pPr>
      <w:rPr>
        <w:rFonts w:ascii="Arial" w:hAnsi="Arial" w:hint="default"/>
      </w:rPr>
    </w:lvl>
    <w:lvl w:ilvl="3" w:tplc="71A08CAE" w:tentative="1">
      <w:start w:val="1"/>
      <w:numFmt w:val="bullet"/>
      <w:lvlText w:val="•"/>
      <w:lvlJc w:val="left"/>
      <w:pPr>
        <w:tabs>
          <w:tab w:val="num" w:pos="3600"/>
        </w:tabs>
        <w:ind w:left="3600" w:hanging="360"/>
      </w:pPr>
      <w:rPr>
        <w:rFonts w:ascii="Arial" w:hAnsi="Arial" w:hint="default"/>
      </w:rPr>
    </w:lvl>
    <w:lvl w:ilvl="4" w:tplc="8E90B68C" w:tentative="1">
      <w:start w:val="1"/>
      <w:numFmt w:val="bullet"/>
      <w:lvlText w:val="•"/>
      <w:lvlJc w:val="left"/>
      <w:pPr>
        <w:tabs>
          <w:tab w:val="num" w:pos="4320"/>
        </w:tabs>
        <w:ind w:left="4320" w:hanging="360"/>
      </w:pPr>
      <w:rPr>
        <w:rFonts w:ascii="Arial" w:hAnsi="Arial" w:hint="default"/>
      </w:rPr>
    </w:lvl>
    <w:lvl w:ilvl="5" w:tplc="972CED5C" w:tentative="1">
      <w:start w:val="1"/>
      <w:numFmt w:val="bullet"/>
      <w:lvlText w:val="•"/>
      <w:lvlJc w:val="left"/>
      <w:pPr>
        <w:tabs>
          <w:tab w:val="num" w:pos="5040"/>
        </w:tabs>
        <w:ind w:left="5040" w:hanging="360"/>
      </w:pPr>
      <w:rPr>
        <w:rFonts w:ascii="Arial" w:hAnsi="Arial" w:hint="default"/>
      </w:rPr>
    </w:lvl>
    <w:lvl w:ilvl="6" w:tplc="7E585A0A" w:tentative="1">
      <w:start w:val="1"/>
      <w:numFmt w:val="bullet"/>
      <w:lvlText w:val="•"/>
      <w:lvlJc w:val="left"/>
      <w:pPr>
        <w:tabs>
          <w:tab w:val="num" w:pos="5760"/>
        </w:tabs>
        <w:ind w:left="5760" w:hanging="360"/>
      </w:pPr>
      <w:rPr>
        <w:rFonts w:ascii="Arial" w:hAnsi="Arial" w:hint="default"/>
      </w:rPr>
    </w:lvl>
    <w:lvl w:ilvl="7" w:tplc="B8CC15CE" w:tentative="1">
      <w:start w:val="1"/>
      <w:numFmt w:val="bullet"/>
      <w:lvlText w:val="•"/>
      <w:lvlJc w:val="left"/>
      <w:pPr>
        <w:tabs>
          <w:tab w:val="num" w:pos="6480"/>
        </w:tabs>
        <w:ind w:left="6480" w:hanging="360"/>
      </w:pPr>
      <w:rPr>
        <w:rFonts w:ascii="Arial" w:hAnsi="Arial" w:hint="default"/>
      </w:rPr>
    </w:lvl>
    <w:lvl w:ilvl="8" w:tplc="C29A08D2" w:tentative="1">
      <w:start w:val="1"/>
      <w:numFmt w:val="bullet"/>
      <w:lvlText w:val="•"/>
      <w:lvlJc w:val="left"/>
      <w:pPr>
        <w:tabs>
          <w:tab w:val="num" w:pos="7200"/>
        </w:tabs>
        <w:ind w:left="7200" w:hanging="360"/>
      </w:pPr>
      <w:rPr>
        <w:rFonts w:ascii="Arial" w:hAnsi="Arial" w:hint="default"/>
      </w:rPr>
    </w:lvl>
  </w:abstractNum>
  <w:abstractNum w:abstractNumId="29">
    <w:nsid w:val="72A7308D"/>
    <w:multiLevelType w:val="hybridMultilevel"/>
    <w:tmpl w:val="79F05D7E"/>
    <w:lvl w:ilvl="0" w:tplc="FBC43482">
      <w:start w:val="1"/>
      <w:numFmt w:val="bullet"/>
      <w:lvlText w:val="•"/>
      <w:lvlJc w:val="left"/>
      <w:pPr>
        <w:tabs>
          <w:tab w:val="num" w:pos="720"/>
        </w:tabs>
        <w:ind w:left="720" w:hanging="360"/>
      </w:pPr>
      <w:rPr>
        <w:rFonts w:ascii="Arial" w:hAnsi="Arial" w:hint="default"/>
      </w:rPr>
    </w:lvl>
    <w:lvl w:ilvl="1" w:tplc="C4BC03E4" w:tentative="1">
      <w:start w:val="1"/>
      <w:numFmt w:val="bullet"/>
      <w:lvlText w:val="•"/>
      <w:lvlJc w:val="left"/>
      <w:pPr>
        <w:tabs>
          <w:tab w:val="num" w:pos="1440"/>
        </w:tabs>
        <w:ind w:left="1440" w:hanging="360"/>
      </w:pPr>
      <w:rPr>
        <w:rFonts w:ascii="Arial" w:hAnsi="Arial" w:hint="default"/>
      </w:rPr>
    </w:lvl>
    <w:lvl w:ilvl="2" w:tplc="8FB825AE" w:tentative="1">
      <w:start w:val="1"/>
      <w:numFmt w:val="bullet"/>
      <w:lvlText w:val="•"/>
      <w:lvlJc w:val="left"/>
      <w:pPr>
        <w:tabs>
          <w:tab w:val="num" w:pos="2160"/>
        </w:tabs>
        <w:ind w:left="2160" w:hanging="360"/>
      </w:pPr>
      <w:rPr>
        <w:rFonts w:ascii="Arial" w:hAnsi="Arial" w:hint="default"/>
      </w:rPr>
    </w:lvl>
    <w:lvl w:ilvl="3" w:tplc="F9DE64EC" w:tentative="1">
      <w:start w:val="1"/>
      <w:numFmt w:val="bullet"/>
      <w:lvlText w:val="•"/>
      <w:lvlJc w:val="left"/>
      <w:pPr>
        <w:tabs>
          <w:tab w:val="num" w:pos="2880"/>
        </w:tabs>
        <w:ind w:left="2880" w:hanging="360"/>
      </w:pPr>
      <w:rPr>
        <w:rFonts w:ascii="Arial" w:hAnsi="Arial" w:hint="default"/>
      </w:rPr>
    </w:lvl>
    <w:lvl w:ilvl="4" w:tplc="182CC34C" w:tentative="1">
      <w:start w:val="1"/>
      <w:numFmt w:val="bullet"/>
      <w:lvlText w:val="•"/>
      <w:lvlJc w:val="left"/>
      <w:pPr>
        <w:tabs>
          <w:tab w:val="num" w:pos="3600"/>
        </w:tabs>
        <w:ind w:left="3600" w:hanging="360"/>
      </w:pPr>
      <w:rPr>
        <w:rFonts w:ascii="Arial" w:hAnsi="Arial" w:hint="default"/>
      </w:rPr>
    </w:lvl>
    <w:lvl w:ilvl="5" w:tplc="F72CEC06" w:tentative="1">
      <w:start w:val="1"/>
      <w:numFmt w:val="bullet"/>
      <w:lvlText w:val="•"/>
      <w:lvlJc w:val="left"/>
      <w:pPr>
        <w:tabs>
          <w:tab w:val="num" w:pos="4320"/>
        </w:tabs>
        <w:ind w:left="4320" w:hanging="360"/>
      </w:pPr>
      <w:rPr>
        <w:rFonts w:ascii="Arial" w:hAnsi="Arial" w:hint="default"/>
      </w:rPr>
    </w:lvl>
    <w:lvl w:ilvl="6" w:tplc="3A9CF728" w:tentative="1">
      <w:start w:val="1"/>
      <w:numFmt w:val="bullet"/>
      <w:lvlText w:val="•"/>
      <w:lvlJc w:val="left"/>
      <w:pPr>
        <w:tabs>
          <w:tab w:val="num" w:pos="5040"/>
        </w:tabs>
        <w:ind w:left="5040" w:hanging="360"/>
      </w:pPr>
      <w:rPr>
        <w:rFonts w:ascii="Arial" w:hAnsi="Arial" w:hint="default"/>
      </w:rPr>
    </w:lvl>
    <w:lvl w:ilvl="7" w:tplc="3A427A90" w:tentative="1">
      <w:start w:val="1"/>
      <w:numFmt w:val="bullet"/>
      <w:lvlText w:val="•"/>
      <w:lvlJc w:val="left"/>
      <w:pPr>
        <w:tabs>
          <w:tab w:val="num" w:pos="5760"/>
        </w:tabs>
        <w:ind w:left="5760" w:hanging="360"/>
      </w:pPr>
      <w:rPr>
        <w:rFonts w:ascii="Arial" w:hAnsi="Arial" w:hint="default"/>
      </w:rPr>
    </w:lvl>
    <w:lvl w:ilvl="8" w:tplc="5726A4DC" w:tentative="1">
      <w:start w:val="1"/>
      <w:numFmt w:val="bullet"/>
      <w:lvlText w:val="•"/>
      <w:lvlJc w:val="left"/>
      <w:pPr>
        <w:tabs>
          <w:tab w:val="num" w:pos="6480"/>
        </w:tabs>
        <w:ind w:left="6480" w:hanging="360"/>
      </w:pPr>
      <w:rPr>
        <w:rFonts w:ascii="Arial" w:hAnsi="Arial" w:hint="default"/>
      </w:rPr>
    </w:lvl>
  </w:abstractNum>
  <w:abstractNum w:abstractNumId="30">
    <w:nsid w:val="74A82EAD"/>
    <w:multiLevelType w:val="hybridMultilevel"/>
    <w:tmpl w:val="A2481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30"/>
  </w:num>
  <w:num w:numId="4">
    <w:abstractNumId w:val="24"/>
  </w:num>
  <w:num w:numId="5">
    <w:abstractNumId w:val="25"/>
  </w:num>
  <w:num w:numId="6">
    <w:abstractNumId w:val="12"/>
  </w:num>
  <w:num w:numId="7">
    <w:abstractNumId w:val="2"/>
  </w:num>
  <w:num w:numId="8">
    <w:abstractNumId w:val="17"/>
  </w:num>
  <w:num w:numId="9">
    <w:abstractNumId w:val="15"/>
  </w:num>
  <w:num w:numId="10">
    <w:abstractNumId w:val="14"/>
  </w:num>
  <w:num w:numId="11">
    <w:abstractNumId w:val="8"/>
  </w:num>
  <w:num w:numId="12">
    <w:abstractNumId w:val="11"/>
  </w:num>
  <w:num w:numId="13">
    <w:abstractNumId w:val="1"/>
  </w:num>
  <w:num w:numId="14">
    <w:abstractNumId w:val="18"/>
  </w:num>
  <w:num w:numId="15">
    <w:abstractNumId w:val="23"/>
  </w:num>
  <w:num w:numId="16">
    <w:abstractNumId w:val="27"/>
  </w:num>
  <w:num w:numId="17">
    <w:abstractNumId w:val="6"/>
  </w:num>
  <w:num w:numId="18">
    <w:abstractNumId w:val="9"/>
  </w:num>
  <w:num w:numId="19">
    <w:abstractNumId w:val="26"/>
  </w:num>
  <w:num w:numId="20">
    <w:abstractNumId w:val="13"/>
  </w:num>
  <w:num w:numId="21">
    <w:abstractNumId w:val="20"/>
  </w:num>
  <w:num w:numId="22">
    <w:abstractNumId w:val="16"/>
  </w:num>
  <w:num w:numId="23">
    <w:abstractNumId w:val="24"/>
  </w:num>
  <w:num w:numId="24">
    <w:abstractNumId w:val="24"/>
  </w:num>
  <w:num w:numId="25">
    <w:abstractNumId w:val="24"/>
  </w:num>
  <w:num w:numId="26">
    <w:abstractNumId w:val="24"/>
  </w:num>
  <w:num w:numId="27">
    <w:abstractNumId w:val="24"/>
  </w:num>
  <w:num w:numId="28">
    <w:abstractNumId w:val="24"/>
  </w:num>
  <w:num w:numId="29">
    <w:abstractNumId w:val="24"/>
  </w:num>
  <w:num w:numId="30">
    <w:abstractNumId w:val="24"/>
  </w:num>
  <w:num w:numId="31">
    <w:abstractNumId w:val="24"/>
  </w:num>
  <w:num w:numId="32">
    <w:abstractNumId w:val="24"/>
  </w:num>
  <w:num w:numId="33">
    <w:abstractNumId w:val="4"/>
  </w:num>
  <w:num w:numId="34">
    <w:abstractNumId w:val="19"/>
  </w:num>
  <w:num w:numId="35">
    <w:abstractNumId w:val="22"/>
  </w:num>
  <w:num w:numId="36">
    <w:abstractNumId w:val="24"/>
  </w:num>
  <w:num w:numId="37">
    <w:abstractNumId w:val="24"/>
  </w:num>
  <w:num w:numId="38">
    <w:abstractNumId w:val="24"/>
  </w:num>
  <w:num w:numId="39">
    <w:abstractNumId w:val="24"/>
  </w:num>
  <w:num w:numId="40">
    <w:abstractNumId w:val="24"/>
  </w:num>
  <w:num w:numId="41">
    <w:abstractNumId w:val="29"/>
  </w:num>
  <w:num w:numId="42">
    <w:abstractNumId w:val="5"/>
  </w:num>
  <w:num w:numId="43">
    <w:abstractNumId w:val="7"/>
  </w:num>
  <w:num w:numId="44">
    <w:abstractNumId w:val="21"/>
  </w:num>
  <w:num w:numId="45">
    <w:abstractNumId w:val="0"/>
  </w:num>
  <w:num w:numId="46">
    <w:abstractNumId w:val="28"/>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attachedTemplate r:id="rId1"/>
  <w:stylePaneFormatFilter w:val="3001"/>
  <w:defaultTabStop w:val="720"/>
  <w:drawingGridHorizontalSpacing w:val="120"/>
  <w:displayHorizontalDrawingGridEvery w:val="2"/>
  <w:noPunctuationKerning/>
  <w:characterSpacingControl w:val="doNotCompress"/>
  <w:hdrShapeDefaults>
    <o:shapedefaults v:ext="edit" spidmax="7170" fill="f" fillcolor="white" stroke="f">
      <v:fill color="white" on="f"/>
      <v:stroke on="f"/>
    </o:shapedefaults>
    <o:shapelayout v:ext="edit">
      <o:idmap v:ext="edit" data="4"/>
      <o:rules v:ext="edit">
        <o:r id="V:Rule4" type="connector" idref="#AutoShape 3"/>
        <o:r id="V:Rule5" type="connector" idref="#AutoShape 21"/>
        <o:r id="V:Rule6" type="connector" idref="#AutoShape 6"/>
      </o:rules>
    </o:shapelayout>
  </w:hdrShapeDefaults>
  <w:footnotePr>
    <w:footnote w:id="0"/>
    <w:footnote w:id="1"/>
  </w:footnotePr>
  <w:endnotePr>
    <w:endnote w:id="0"/>
    <w:endnote w:id="1"/>
  </w:endnotePr>
  <w:compat/>
  <w:rsids>
    <w:rsidRoot w:val="0033097E"/>
    <w:rsid w:val="00000062"/>
    <w:rsid w:val="00000AA7"/>
    <w:rsid w:val="00000BF2"/>
    <w:rsid w:val="00000E42"/>
    <w:rsid w:val="00000F1D"/>
    <w:rsid w:val="000013DD"/>
    <w:rsid w:val="00001F9B"/>
    <w:rsid w:val="00002229"/>
    <w:rsid w:val="000024DF"/>
    <w:rsid w:val="000030FE"/>
    <w:rsid w:val="0000356A"/>
    <w:rsid w:val="00003DAA"/>
    <w:rsid w:val="0000469B"/>
    <w:rsid w:val="0000471D"/>
    <w:rsid w:val="00004AF5"/>
    <w:rsid w:val="000054B9"/>
    <w:rsid w:val="0000576E"/>
    <w:rsid w:val="00005B57"/>
    <w:rsid w:val="0000610C"/>
    <w:rsid w:val="00006589"/>
    <w:rsid w:val="00006B3B"/>
    <w:rsid w:val="000075F6"/>
    <w:rsid w:val="00007876"/>
    <w:rsid w:val="00007BF7"/>
    <w:rsid w:val="00010143"/>
    <w:rsid w:val="000103C7"/>
    <w:rsid w:val="00010417"/>
    <w:rsid w:val="00010490"/>
    <w:rsid w:val="00010727"/>
    <w:rsid w:val="00010831"/>
    <w:rsid w:val="0001084F"/>
    <w:rsid w:val="000108BE"/>
    <w:rsid w:val="000108E7"/>
    <w:rsid w:val="00010ACC"/>
    <w:rsid w:val="00010CB6"/>
    <w:rsid w:val="00011966"/>
    <w:rsid w:val="00011C74"/>
    <w:rsid w:val="00011CD0"/>
    <w:rsid w:val="00012091"/>
    <w:rsid w:val="000121DC"/>
    <w:rsid w:val="0001304E"/>
    <w:rsid w:val="0001322C"/>
    <w:rsid w:val="000133AB"/>
    <w:rsid w:val="0001368E"/>
    <w:rsid w:val="00013777"/>
    <w:rsid w:val="000137C9"/>
    <w:rsid w:val="00013BBB"/>
    <w:rsid w:val="00013DBC"/>
    <w:rsid w:val="0001454B"/>
    <w:rsid w:val="00014645"/>
    <w:rsid w:val="00014728"/>
    <w:rsid w:val="00014868"/>
    <w:rsid w:val="00014ACE"/>
    <w:rsid w:val="00014DBB"/>
    <w:rsid w:val="00015218"/>
    <w:rsid w:val="00015B19"/>
    <w:rsid w:val="00015D0A"/>
    <w:rsid w:val="00015EFD"/>
    <w:rsid w:val="000160DB"/>
    <w:rsid w:val="0001610A"/>
    <w:rsid w:val="0001615E"/>
    <w:rsid w:val="00016E84"/>
    <w:rsid w:val="0001751D"/>
    <w:rsid w:val="00017B60"/>
    <w:rsid w:val="00017EB5"/>
    <w:rsid w:val="0002045B"/>
    <w:rsid w:val="00020ADE"/>
    <w:rsid w:val="00020AE9"/>
    <w:rsid w:val="00020B65"/>
    <w:rsid w:val="0002121C"/>
    <w:rsid w:val="0002269D"/>
    <w:rsid w:val="00022CE0"/>
    <w:rsid w:val="00022DD2"/>
    <w:rsid w:val="00022EF2"/>
    <w:rsid w:val="00023428"/>
    <w:rsid w:val="0002367F"/>
    <w:rsid w:val="000246A9"/>
    <w:rsid w:val="00024C92"/>
    <w:rsid w:val="000253D5"/>
    <w:rsid w:val="000256F4"/>
    <w:rsid w:val="00025A39"/>
    <w:rsid w:val="00025AA6"/>
    <w:rsid w:val="00025B71"/>
    <w:rsid w:val="0002624E"/>
    <w:rsid w:val="0002639F"/>
    <w:rsid w:val="000265C0"/>
    <w:rsid w:val="00026621"/>
    <w:rsid w:val="0002692E"/>
    <w:rsid w:val="0002699E"/>
    <w:rsid w:val="00026AE9"/>
    <w:rsid w:val="00026C58"/>
    <w:rsid w:val="00030146"/>
    <w:rsid w:val="0003024C"/>
    <w:rsid w:val="0003025F"/>
    <w:rsid w:val="00030551"/>
    <w:rsid w:val="00030D41"/>
    <w:rsid w:val="00030FB5"/>
    <w:rsid w:val="00030FC0"/>
    <w:rsid w:val="00031409"/>
    <w:rsid w:val="000317D6"/>
    <w:rsid w:val="00031A1C"/>
    <w:rsid w:val="00031A70"/>
    <w:rsid w:val="00031BCF"/>
    <w:rsid w:val="00031E00"/>
    <w:rsid w:val="00031ED2"/>
    <w:rsid w:val="00032051"/>
    <w:rsid w:val="0003255B"/>
    <w:rsid w:val="0003260F"/>
    <w:rsid w:val="00032D21"/>
    <w:rsid w:val="00032FB5"/>
    <w:rsid w:val="000330B5"/>
    <w:rsid w:val="00033463"/>
    <w:rsid w:val="00033D55"/>
    <w:rsid w:val="000346B5"/>
    <w:rsid w:val="00035CC6"/>
    <w:rsid w:val="000361BA"/>
    <w:rsid w:val="0003621A"/>
    <w:rsid w:val="000362EA"/>
    <w:rsid w:val="0003658B"/>
    <w:rsid w:val="00036630"/>
    <w:rsid w:val="00036710"/>
    <w:rsid w:val="00037176"/>
    <w:rsid w:val="00037311"/>
    <w:rsid w:val="00037470"/>
    <w:rsid w:val="00037481"/>
    <w:rsid w:val="0004044E"/>
    <w:rsid w:val="000405E9"/>
    <w:rsid w:val="00040798"/>
    <w:rsid w:val="00040B8F"/>
    <w:rsid w:val="000412E9"/>
    <w:rsid w:val="0004140B"/>
    <w:rsid w:val="00041AC4"/>
    <w:rsid w:val="00041BD3"/>
    <w:rsid w:val="00041E40"/>
    <w:rsid w:val="0004271D"/>
    <w:rsid w:val="00042D87"/>
    <w:rsid w:val="00043014"/>
    <w:rsid w:val="000432B5"/>
    <w:rsid w:val="0004352D"/>
    <w:rsid w:val="00043ADC"/>
    <w:rsid w:val="00043B30"/>
    <w:rsid w:val="00043B69"/>
    <w:rsid w:val="00043DB8"/>
    <w:rsid w:val="00044817"/>
    <w:rsid w:val="00044E2B"/>
    <w:rsid w:val="00044EEE"/>
    <w:rsid w:val="00044FFB"/>
    <w:rsid w:val="0004543E"/>
    <w:rsid w:val="00045468"/>
    <w:rsid w:val="000454A8"/>
    <w:rsid w:val="000455F1"/>
    <w:rsid w:val="00045A82"/>
    <w:rsid w:val="00045B3B"/>
    <w:rsid w:val="00045E29"/>
    <w:rsid w:val="000462FA"/>
    <w:rsid w:val="00046552"/>
    <w:rsid w:val="00046867"/>
    <w:rsid w:val="00046906"/>
    <w:rsid w:val="00046A4E"/>
    <w:rsid w:val="00046DAA"/>
    <w:rsid w:val="00046DC5"/>
    <w:rsid w:val="000470E6"/>
    <w:rsid w:val="00047A45"/>
    <w:rsid w:val="00047CCC"/>
    <w:rsid w:val="00047DAC"/>
    <w:rsid w:val="00050005"/>
    <w:rsid w:val="00050296"/>
    <w:rsid w:val="000504AD"/>
    <w:rsid w:val="00050566"/>
    <w:rsid w:val="00050A36"/>
    <w:rsid w:val="00050CC5"/>
    <w:rsid w:val="00050F8F"/>
    <w:rsid w:val="00050FAF"/>
    <w:rsid w:val="000510DC"/>
    <w:rsid w:val="00051526"/>
    <w:rsid w:val="00051B4B"/>
    <w:rsid w:val="00051FB3"/>
    <w:rsid w:val="00052313"/>
    <w:rsid w:val="00052602"/>
    <w:rsid w:val="00052A39"/>
    <w:rsid w:val="0005334A"/>
    <w:rsid w:val="0005356B"/>
    <w:rsid w:val="00053B6D"/>
    <w:rsid w:val="00053CBB"/>
    <w:rsid w:val="00053E2F"/>
    <w:rsid w:val="00054473"/>
    <w:rsid w:val="0005497B"/>
    <w:rsid w:val="00054C4E"/>
    <w:rsid w:val="00054EDE"/>
    <w:rsid w:val="00055327"/>
    <w:rsid w:val="00055BCA"/>
    <w:rsid w:val="00055D3C"/>
    <w:rsid w:val="00056478"/>
    <w:rsid w:val="000565E7"/>
    <w:rsid w:val="00056749"/>
    <w:rsid w:val="00056879"/>
    <w:rsid w:val="00056936"/>
    <w:rsid w:val="000571F8"/>
    <w:rsid w:val="00057218"/>
    <w:rsid w:val="00057284"/>
    <w:rsid w:val="000576C5"/>
    <w:rsid w:val="00057831"/>
    <w:rsid w:val="00057B81"/>
    <w:rsid w:val="00057E85"/>
    <w:rsid w:val="00057EA7"/>
    <w:rsid w:val="00060606"/>
    <w:rsid w:val="00060647"/>
    <w:rsid w:val="00060759"/>
    <w:rsid w:val="00060A07"/>
    <w:rsid w:val="00060C8C"/>
    <w:rsid w:val="00060C93"/>
    <w:rsid w:val="00060DFF"/>
    <w:rsid w:val="00060EE9"/>
    <w:rsid w:val="00060F5D"/>
    <w:rsid w:val="00061121"/>
    <w:rsid w:val="0006124C"/>
    <w:rsid w:val="000616C1"/>
    <w:rsid w:val="00061A04"/>
    <w:rsid w:val="00061AA6"/>
    <w:rsid w:val="00061BDD"/>
    <w:rsid w:val="00061D4D"/>
    <w:rsid w:val="00061FA2"/>
    <w:rsid w:val="00062881"/>
    <w:rsid w:val="000629E2"/>
    <w:rsid w:val="00062AFE"/>
    <w:rsid w:val="00063517"/>
    <w:rsid w:val="0006363F"/>
    <w:rsid w:val="000648A9"/>
    <w:rsid w:val="000648C0"/>
    <w:rsid w:val="00064A7C"/>
    <w:rsid w:val="000658A7"/>
    <w:rsid w:val="00065950"/>
    <w:rsid w:val="00065A8B"/>
    <w:rsid w:val="00066419"/>
    <w:rsid w:val="00066516"/>
    <w:rsid w:val="0006666A"/>
    <w:rsid w:val="0006683F"/>
    <w:rsid w:val="000668EE"/>
    <w:rsid w:val="00066965"/>
    <w:rsid w:val="00067411"/>
    <w:rsid w:val="000677E3"/>
    <w:rsid w:val="00071964"/>
    <w:rsid w:val="00071AB2"/>
    <w:rsid w:val="00072821"/>
    <w:rsid w:val="000733DA"/>
    <w:rsid w:val="0007344E"/>
    <w:rsid w:val="00073F04"/>
    <w:rsid w:val="00074DEB"/>
    <w:rsid w:val="000750AB"/>
    <w:rsid w:val="000753B3"/>
    <w:rsid w:val="0007558E"/>
    <w:rsid w:val="000755B0"/>
    <w:rsid w:val="00075903"/>
    <w:rsid w:val="00075C2E"/>
    <w:rsid w:val="00075F27"/>
    <w:rsid w:val="00076035"/>
    <w:rsid w:val="00076436"/>
    <w:rsid w:val="00076748"/>
    <w:rsid w:val="00076A40"/>
    <w:rsid w:val="00076BE1"/>
    <w:rsid w:val="00076CED"/>
    <w:rsid w:val="00076FAE"/>
    <w:rsid w:val="000773AA"/>
    <w:rsid w:val="00077B1F"/>
    <w:rsid w:val="00080470"/>
    <w:rsid w:val="00080806"/>
    <w:rsid w:val="000808B0"/>
    <w:rsid w:val="000808B7"/>
    <w:rsid w:val="00081023"/>
    <w:rsid w:val="00081644"/>
    <w:rsid w:val="00081A03"/>
    <w:rsid w:val="00081B65"/>
    <w:rsid w:val="000826E3"/>
    <w:rsid w:val="00082AFB"/>
    <w:rsid w:val="00082BB7"/>
    <w:rsid w:val="00082DE7"/>
    <w:rsid w:val="00082E12"/>
    <w:rsid w:val="00082E5D"/>
    <w:rsid w:val="00083E59"/>
    <w:rsid w:val="0008433A"/>
    <w:rsid w:val="00084641"/>
    <w:rsid w:val="000849B5"/>
    <w:rsid w:val="00084D56"/>
    <w:rsid w:val="00084EAD"/>
    <w:rsid w:val="00086160"/>
    <w:rsid w:val="000862E4"/>
    <w:rsid w:val="000864C3"/>
    <w:rsid w:val="000865EE"/>
    <w:rsid w:val="000866DD"/>
    <w:rsid w:val="000868B9"/>
    <w:rsid w:val="00086BA4"/>
    <w:rsid w:val="00086BA7"/>
    <w:rsid w:val="0008739F"/>
    <w:rsid w:val="00087829"/>
    <w:rsid w:val="00087D96"/>
    <w:rsid w:val="00090912"/>
    <w:rsid w:val="00090F4C"/>
    <w:rsid w:val="00091474"/>
    <w:rsid w:val="0009152A"/>
    <w:rsid w:val="000918C1"/>
    <w:rsid w:val="00091BEA"/>
    <w:rsid w:val="00091CF9"/>
    <w:rsid w:val="00092385"/>
    <w:rsid w:val="0009248F"/>
    <w:rsid w:val="00092A9C"/>
    <w:rsid w:val="00092FBD"/>
    <w:rsid w:val="000934BC"/>
    <w:rsid w:val="00093CDD"/>
    <w:rsid w:val="00094497"/>
    <w:rsid w:val="00094A6E"/>
    <w:rsid w:val="00094BCA"/>
    <w:rsid w:val="00095518"/>
    <w:rsid w:val="000958F7"/>
    <w:rsid w:val="00095BBB"/>
    <w:rsid w:val="0009647A"/>
    <w:rsid w:val="00096A8B"/>
    <w:rsid w:val="000971B6"/>
    <w:rsid w:val="00097FE4"/>
    <w:rsid w:val="000A0036"/>
    <w:rsid w:val="000A0094"/>
    <w:rsid w:val="000A0101"/>
    <w:rsid w:val="000A060B"/>
    <w:rsid w:val="000A0913"/>
    <w:rsid w:val="000A109D"/>
    <w:rsid w:val="000A10C0"/>
    <w:rsid w:val="000A17A2"/>
    <w:rsid w:val="000A1E4B"/>
    <w:rsid w:val="000A1F4C"/>
    <w:rsid w:val="000A20E9"/>
    <w:rsid w:val="000A28B8"/>
    <w:rsid w:val="000A2C9B"/>
    <w:rsid w:val="000A2D20"/>
    <w:rsid w:val="000A30BA"/>
    <w:rsid w:val="000A35AF"/>
    <w:rsid w:val="000A401E"/>
    <w:rsid w:val="000A4062"/>
    <w:rsid w:val="000A4771"/>
    <w:rsid w:val="000A47CA"/>
    <w:rsid w:val="000A4B10"/>
    <w:rsid w:val="000A4C0B"/>
    <w:rsid w:val="000A4EB8"/>
    <w:rsid w:val="000A567D"/>
    <w:rsid w:val="000A5733"/>
    <w:rsid w:val="000A5B88"/>
    <w:rsid w:val="000A634A"/>
    <w:rsid w:val="000A6354"/>
    <w:rsid w:val="000A68CF"/>
    <w:rsid w:val="000A68D6"/>
    <w:rsid w:val="000A6B58"/>
    <w:rsid w:val="000A6D8D"/>
    <w:rsid w:val="000A6FDE"/>
    <w:rsid w:val="000A719A"/>
    <w:rsid w:val="000A72CF"/>
    <w:rsid w:val="000A72D6"/>
    <w:rsid w:val="000A7370"/>
    <w:rsid w:val="000A7381"/>
    <w:rsid w:val="000A74A7"/>
    <w:rsid w:val="000A756F"/>
    <w:rsid w:val="000A7735"/>
    <w:rsid w:val="000A7A6E"/>
    <w:rsid w:val="000A7CFF"/>
    <w:rsid w:val="000B00D7"/>
    <w:rsid w:val="000B04AD"/>
    <w:rsid w:val="000B09DD"/>
    <w:rsid w:val="000B0F79"/>
    <w:rsid w:val="000B1514"/>
    <w:rsid w:val="000B1749"/>
    <w:rsid w:val="000B1A80"/>
    <w:rsid w:val="000B2108"/>
    <w:rsid w:val="000B2336"/>
    <w:rsid w:val="000B2CDA"/>
    <w:rsid w:val="000B3262"/>
    <w:rsid w:val="000B3DAB"/>
    <w:rsid w:val="000B4045"/>
    <w:rsid w:val="000B416A"/>
    <w:rsid w:val="000B429A"/>
    <w:rsid w:val="000B4411"/>
    <w:rsid w:val="000B5020"/>
    <w:rsid w:val="000B5157"/>
    <w:rsid w:val="000B559A"/>
    <w:rsid w:val="000B5900"/>
    <w:rsid w:val="000B6238"/>
    <w:rsid w:val="000B64E9"/>
    <w:rsid w:val="000B64F7"/>
    <w:rsid w:val="000B65D7"/>
    <w:rsid w:val="000B67AB"/>
    <w:rsid w:val="000B704C"/>
    <w:rsid w:val="000B705E"/>
    <w:rsid w:val="000B7803"/>
    <w:rsid w:val="000C0338"/>
    <w:rsid w:val="000C046A"/>
    <w:rsid w:val="000C0719"/>
    <w:rsid w:val="000C0E07"/>
    <w:rsid w:val="000C1237"/>
    <w:rsid w:val="000C1E73"/>
    <w:rsid w:val="000C1F18"/>
    <w:rsid w:val="000C2796"/>
    <w:rsid w:val="000C2829"/>
    <w:rsid w:val="000C2872"/>
    <w:rsid w:val="000C2E0B"/>
    <w:rsid w:val="000C2E3F"/>
    <w:rsid w:val="000C2F15"/>
    <w:rsid w:val="000C30A6"/>
    <w:rsid w:val="000C32A2"/>
    <w:rsid w:val="000C34E3"/>
    <w:rsid w:val="000C35F8"/>
    <w:rsid w:val="000C3DB3"/>
    <w:rsid w:val="000C4408"/>
    <w:rsid w:val="000C4691"/>
    <w:rsid w:val="000C4726"/>
    <w:rsid w:val="000C4898"/>
    <w:rsid w:val="000C48C2"/>
    <w:rsid w:val="000C4A43"/>
    <w:rsid w:val="000C4BAE"/>
    <w:rsid w:val="000C4BE4"/>
    <w:rsid w:val="000C4E33"/>
    <w:rsid w:val="000C5783"/>
    <w:rsid w:val="000C5B39"/>
    <w:rsid w:val="000C5C70"/>
    <w:rsid w:val="000C6288"/>
    <w:rsid w:val="000C6943"/>
    <w:rsid w:val="000C7C04"/>
    <w:rsid w:val="000D0943"/>
    <w:rsid w:val="000D0AFD"/>
    <w:rsid w:val="000D15F4"/>
    <w:rsid w:val="000D17CD"/>
    <w:rsid w:val="000D19A1"/>
    <w:rsid w:val="000D1DD4"/>
    <w:rsid w:val="000D1FF4"/>
    <w:rsid w:val="000D200C"/>
    <w:rsid w:val="000D2759"/>
    <w:rsid w:val="000D2B79"/>
    <w:rsid w:val="000D3032"/>
    <w:rsid w:val="000D3193"/>
    <w:rsid w:val="000D32B9"/>
    <w:rsid w:val="000D3394"/>
    <w:rsid w:val="000D3414"/>
    <w:rsid w:val="000D3727"/>
    <w:rsid w:val="000D3BE7"/>
    <w:rsid w:val="000D5010"/>
    <w:rsid w:val="000D5D41"/>
    <w:rsid w:val="000D6797"/>
    <w:rsid w:val="000D6AF2"/>
    <w:rsid w:val="000D6B2A"/>
    <w:rsid w:val="000D6CBD"/>
    <w:rsid w:val="000D6D99"/>
    <w:rsid w:val="000D6EBB"/>
    <w:rsid w:val="000D74FF"/>
    <w:rsid w:val="000D7538"/>
    <w:rsid w:val="000D771C"/>
    <w:rsid w:val="000D7736"/>
    <w:rsid w:val="000D78BC"/>
    <w:rsid w:val="000D7B15"/>
    <w:rsid w:val="000D7E95"/>
    <w:rsid w:val="000E0655"/>
    <w:rsid w:val="000E074C"/>
    <w:rsid w:val="000E0D1C"/>
    <w:rsid w:val="000E103F"/>
    <w:rsid w:val="000E1169"/>
    <w:rsid w:val="000E1355"/>
    <w:rsid w:val="000E1446"/>
    <w:rsid w:val="000E1840"/>
    <w:rsid w:val="000E19F5"/>
    <w:rsid w:val="000E1C88"/>
    <w:rsid w:val="000E1F52"/>
    <w:rsid w:val="000E22B3"/>
    <w:rsid w:val="000E2D76"/>
    <w:rsid w:val="000E2DCC"/>
    <w:rsid w:val="000E2FC3"/>
    <w:rsid w:val="000E3663"/>
    <w:rsid w:val="000E378E"/>
    <w:rsid w:val="000E37DC"/>
    <w:rsid w:val="000E39F3"/>
    <w:rsid w:val="000E3E89"/>
    <w:rsid w:val="000E3EEB"/>
    <w:rsid w:val="000E3FDE"/>
    <w:rsid w:val="000E4003"/>
    <w:rsid w:val="000E4215"/>
    <w:rsid w:val="000E478D"/>
    <w:rsid w:val="000E4F0A"/>
    <w:rsid w:val="000E50BA"/>
    <w:rsid w:val="000E513F"/>
    <w:rsid w:val="000E5683"/>
    <w:rsid w:val="000E5D20"/>
    <w:rsid w:val="000E6077"/>
    <w:rsid w:val="000E6356"/>
    <w:rsid w:val="000E66C9"/>
    <w:rsid w:val="000E677F"/>
    <w:rsid w:val="000E747D"/>
    <w:rsid w:val="000E7480"/>
    <w:rsid w:val="000E77AB"/>
    <w:rsid w:val="000E7986"/>
    <w:rsid w:val="000E79E0"/>
    <w:rsid w:val="000E7E89"/>
    <w:rsid w:val="000F0492"/>
    <w:rsid w:val="000F0E1F"/>
    <w:rsid w:val="000F1057"/>
    <w:rsid w:val="000F1655"/>
    <w:rsid w:val="000F1666"/>
    <w:rsid w:val="000F1844"/>
    <w:rsid w:val="000F187B"/>
    <w:rsid w:val="000F18AD"/>
    <w:rsid w:val="000F2877"/>
    <w:rsid w:val="000F2EE1"/>
    <w:rsid w:val="000F318A"/>
    <w:rsid w:val="000F329D"/>
    <w:rsid w:val="000F3AAD"/>
    <w:rsid w:val="000F3ACD"/>
    <w:rsid w:val="000F4598"/>
    <w:rsid w:val="000F4DC8"/>
    <w:rsid w:val="000F4F81"/>
    <w:rsid w:val="000F4FA7"/>
    <w:rsid w:val="000F560F"/>
    <w:rsid w:val="000F578E"/>
    <w:rsid w:val="000F59E9"/>
    <w:rsid w:val="000F63D7"/>
    <w:rsid w:val="000F64B0"/>
    <w:rsid w:val="000F65DB"/>
    <w:rsid w:val="000F661B"/>
    <w:rsid w:val="000F6975"/>
    <w:rsid w:val="000F6A19"/>
    <w:rsid w:val="000F6C8B"/>
    <w:rsid w:val="000F7100"/>
    <w:rsid w:val="000F72B2"/>
    <w:rsid w:val="000F7562"/>
    <w:rsid w:val="000F75F1"/>
    <w:rsid w:val="000F775F"/>
    <w:rsid w:val="001003ED"/>
    <w:rsid w:val="0010059E"/>
    <w:rsid w:val="00100950"/>
    <w:rsid w:val="00101283"/>
    <w:rsid w:val="00101B7C"/>
    <w:rsid w:val="00102128"/>
    <w:rsid w:val="00102AFF"/>
    <w:rsid w:val="00102CC5"/>
    <w:rsid w:val="00102DDC"/>
    <w:rsid w:val="00103099"/>
    <w:rsid w:val="00103215"/>
    <w:rsid w:val="00103490"/>
    <w:rsid w:val="00103801"/>
    <w:rsid w:val="00103A16"/>
    <w:rsid w:val="00104125"/>
    <w:rsid w:val="00104B1B"/>
    <w:rsid w:val="00104C09"/>
    <w:rsid w:val="00104CD8"/>
    <w:rsid w:val="00105F99"/>
    <w:rsid w:val="00106088"/>
    <w:rsid w:val="001069B7"/>
    <w:rsid w:val="00106A45"/>
    <w:rsid w:val="00106A46"/>
    <w:rsid w:val="00106B09"/>
    <w:rsid w:val="00106C4F"/>
    <w:rsid w:val="00110011"/>
    <w:rsid w:val="00110392"/>
    <w:rsid w:val="00110557"/>
    <w:rsid w:val="00110E30"/>
    <w:rsid w:val="00111117"/>
    <w:rsid w:val="00111775"/>
    <w:rsid w:val="00111BBE"/>
    <w:rsid w:val="00112444"/>
    <w:rsid w:val="00112CFC"/>
    <w:rsid w:val="00112E83"/>
    <w:rsid w:val="00113224"/>
    <w:rsid w:val="00113BED"/>
    <w:rsid w:val="00114B98"/>
    <w:rsid w:val="00114E47"/>
    <w:rsid w:val="00114FC6"/>
    <w:rsid w:val="00115328"/>
    <w:rsid w:val="00115BE0"/>
    <w:rsid w:val="00115EB8"/>
    <w:rsid w:val="00115F48"/>
    <w:rsid w:val="00116057"/>
    <w:rsid w:val="00116811"/>
    <w:rsid w:val="00116CF9"/>
    <w:rsid w:val="00116F25"/>
    <w:rsid w:val="00117743"/>
    <w:rsid w:val="00117777"/>
    <w:rsid w:val="00117852"/>
    <w:rsid w:val="00117DEA"/>
    <w:rsid w:val="00117E25"/>
    <w:rsid w:val="00120135"/>
    <w:rsid w:val="0012013B"/>
    <w:rsid w:val="0012020E"/>
    <w:rsid w:val="00120252"/>
    <w:rsid w:val="00120278"/>
    <w:rsid w:val="00120807"/>
    <w:rsid w:val="0012092D"/>
    <w:rsid w:val="00120CA9"/>
    <w:rsid w:val="001214D9"/>
    <w:rsid w:val="0012153C"/>
    <w:rsid w:val="0012191A"/>
    <w:rsid w:val="00121C8C"/>
    <w:rsid w:val="00121C9F"/>
    <w:rsid w:val="00121ECF"/>
    <w:rsid w:val="00122469"/>
    <w:rsid w:val="00122778"/>
    <w:rsid w:val="00122F8C"/>
    <w:rsid w:val="00123118"/>
    <w:rsid w:val="001232E4"/>
    <w:rsid w:val="00123853"/>
    <w:rsid w:val="00123A6A"/>
    <w:rsid w:val="0012443B"/>
    <w:rsid w:val="001245FE"/>
    <w:rsid w:val="001247F4"/>
    <w:rsid w:val="0012486A"/>
    <w:rsid w:val="00124D50"/>
    <w:rsid w:val="00125865"/>
    <w:rsid w:val="00125A86"/>
    <w:rsid w:val="00125E4F"/>
    <w:rsid w:val="001274DA"/>
    <w:rsid w:val="0012781C"/>
    <w:rsid w:val="00127F34"/>
    <w:rsid w:val="00127F5A"/>
    <w:rsid w:val="00127F8B"/>
    <w:rsid w:val="00130444"/>
    <w:rsid w:val="00130B76"/>
    <w:rsid w:val="001310C7"/>
    <w:rsid w:val="0013122D"/>
    <w:rsid w:val="00131534"/>
    <w:rsid w:val="001316A9"/>
    <w:rsid w:val="0013196A"/>
    <w:rsid w:val="00131A47"/>
    <w:rsid w:val="00132537"/>
    <w:rsid w:val="00132B51"/>
    <w:rsid w:val="00132C0A"/>
    <w:rsid w:val="00132C83"/>
    <w:rsid w:val="00132D62"/>
    <w:rsid w:val="001331F1"/>
    <w:rsid w:val="00133A03"/>
    <w:rsid w:val="00133D8D"/>
    <w:rsid w:val="00133F02"/>
    <w:rsid w:val="00134812"/>
    <w:rsid w:val="001349A5"/>
    <w:rsid w:val="00134BCB"/>
    <w:rsid w:val="00134C33"/>
    <w:rsid w:val="00134D82"/>
    <w:rsid w:val="00134F08"/>
    <w:rsid w:val="0013537D"/>
    <w:rsid w:val="00136076"/>
    <w:rsid w:val="00136184"/>
    <w:rsid w:val="00136261"/>
    <w:rsid w:val="0013655B"/>
    <w:rsid w:val="00136808"/>
    <w:rsid w:val="00136900"/>
    <w:rsid w:val="00136924"/>
    <w:rsid w:val="00136994"/>
    <w:rsid w:val="00137441"/>
    <w:rsid w:val="00137A6B"/>
    <w:rsid w:val="00137B0E"/>
    <w:rsid w:val="001409EB"/>
    <w:rsid w:val="00140E1B"/>
    <w:rsid w:val="00140E99"/>
    <w:rsid w:val="00140EAF"/>
    <w:rsid w:val="0014153B"/>
    <w:rsid w:val="00141881"/>
    <w:rsid w:val="00141B56"/>
    <w:rsid w:val="00142235"/>
    <w:rsid w:val="00143315"/>
    <w:rsid w:val="0014347F"/>
    <w:rsid w:val="00143A0D"/>
    <w:rsid w:val="00143A2B"/>
    <w:rsid w:val="00143C38"/>
    <w:rsid w:val="00143E54"/>
    <w:rsid w:val="001448AC"/>
    <w:rsid w:val="00144BCB"/>
    <w:rsid w:val="001450BE"/>
    <w:rsid w:val="0014568E"/>
    <w:rsid w:val="001458A2"/>
    <w:rsid w:val="00145D37"/>
    <w:rsid w:val="00145D47"/>
    <w:rsid w:val="00145DEC"/>
    <w:rsid w:val="00146432"/>
    <w:rsid w:val="0014653F"/>
    <w:rsid w:val="00146E58"/>
    <w:rsid w:val="00147319"/>
    <w:rsid w:val="00150256"/>
    <w:rsid w:val="00150799"/>
    <w:rsid w:val="00151443"/>
    <w:rsid w:val="00151519"/>
    <w:rsid w:val="001515F8"/>
    <w:rsid w:val="0015206E"/>
    <w:rsid w:val="001520C1"/>
    <w:rsid w:val="001521EF"/>
    <w:rsid w:val="00152336"/>
    <w:rsid w:val="001525AF"/>
    <w:rsid w:val="00152653"/>
    <w:rsid w:val="00152AE8"/>
    <w:rsid w:val="00152B8C"/>
    <w:rsid w:val="00152F9A"/>
    <w:rsid w:val="00153175"/>
    <w:rsid w:val="0015325E"/>
    <w:rsid w:val="00153640"/>
    <w:rsid w:val="00153721"/>
    <w:rsid w:val="00153818"/>
    <w:rsid w:val="00153821"/>
    <w:rsid w:val="00153A09"/>
    <w:rsid w:val="00153DFC"/>
    <w:rsid w:val="0015463E"/>
    <w:rsid w:val="00154BD3"/>
    <w:rsid w:val="00154F9E"/>
    <w:rsid w:val="001552D8"/>
    <w:rsid w:val="0015557B"/>
    <w:rsid w:val="00155D04"/>
    <w:rsid w:val="00155E1D"/>
    <w:rsid w:val="00155F85"/>
    <w:rsid w:val="0015667D"/>
    <w:rsid w:val="0015746F"/>
    <w:rsid w:val="00157AA4"/>
    <w:rsid w:val="001600F3"/>
    <w:rsid w:val="00161140"/>
    <w:rsid w:val="00161681"/>
    <w:rsid w:val="001618D6"/>
    <w:rsid w:val="00162165"/>
    <w:rsid w:val="00162C9B"/>
    <w:rsid w:val="001634A4"/>
    <w:rsid w:val="0016358D"/>
    <w:rsid w:val="0016365E"/>
    <w:rsid w:val="00163786"/>
    <w:rsid w:val="001637B1"/>
    <w:rsid w:val="00163E22"/>
    <w:rsid w:val="00163F6A"/>
    <w:rsid w:val="00164907"/>
    <w:rsid w:val="001649C3"/>
    <w:rsid w:val="001650DB"/>
    <w:rsid w:val="001651D1"/>
    <w:rsid w:val="00165349"/>
    <w:rsid w:val="0016577E"/>
    <w:rsid w:val="001659A9"/>
    <w:rsid w:val="00165C52"/>
    <w:rsid w:val="00165D68"/>
    <w:rsid w:val="00165DAF"/>
    <w:rsid w:val="00165FA3"/>
    <w:rsid w:val="00166547"/>
    <w:rsid w:val="00166866"/>
    <w:rsid w:val="00166AF6"/>
    <w:rsid w:val="00166C0F"/>
    <w:rsid w:val="00167677"/>
    <w:rsid w:val="001676AE"/>
    <w:rsid w:val="00167DA4"/>
    <w:rsid w:val="00167DE8"/>
    <w:rsid w:val="00167DFF"/>
    <w:rsid w:val="00170036"/>
    <w:rsid w:val="00170602"/>
    <w:rsid w:val="00170B84"/>
    <w:rsid w:val="00170E93"/>
    <w:rsid w:val="001713A5"/>
    <w:rsid w:val="001714F6"/>
    <w:rsid w:val="0017174C"/>
    <w:rsid w:val="00171C1F"/>
    <w:rsid w:val="00172A84"/>
    <w:rsid w:val="00172A99"/>
    <w:rsid w:val="00172FB9"/>
    <w:rsid w:val="001732BA"/>
    <w:rsid w:val="00173615"/>
    <w:rsid w:val="00173761"/>
    <w:rsid w:val="001738D9"/>
    <w:rsid w:val="00173926"/>
    <w:rsid w:val="00174354"/>
    <w:rsid w:val="00174A3F"/>
    <w:rsid w:val="00174FD1"/>
    <w:rsid w:val="00175A36"/>
    <w:rsid w:val="00175CAA"/>
    <w:rsid w:val="00175D0F"/>
    <w:rsid w:val="001760A8"/>
    <w:rsid w:val="00176167"/>
    <w:rsid w:val="00176636"/>
    <w:rsid w:val="001766A8"/>
    <w:rsid w:val="001768EC"/>
    <w:rsid w:val="00176B51"/>
    <w:rsid w:val="00176E99"/>
    <w:rsid w:val="001770AB"/>
    <w:rsid w:val="00177851"/>
    <w:rsid w:val="00177D42"/>
    <w:rsid w:val="00180067"/>
    <w:rsid w:val="001803D5"/>
    <w:rsid w:val="001806AB"/>
    <w:rsid w:val="001807CD"/>
    <w:rsid w:val="00180DC3"/>
    <w:rsid w:val="00180E1C"/>
    <w:rsid w:val="001811D8"/>
    <w:rsid w:val="0018146A"/>
    <w:rsid w:val="0018197F"/>
    <w:rsid w:val="00182278"/>
    <w:rsid w:val="001822B1"/>
    <w:rsid w:val="00182F30"/>
    <w:rsid w:val="0018319A"/>
    <w:rsid w:val="001838AE"/>
    <w:rsid w:val="00184F1F"/>
    <w:rsid w:val="00184F6A"/>
    <w:rsid w:val="0018542A"/>
    <w:rsid w:val="00185675"/>
    <w:rsid w:val="00185CEA"/>
    <w:rsid w:val="00185F55"/>
    <w:rsid w:val="00186883"/>
    <w:rsid w:val="00186908"/>
    <w:rsid w:val="00186AD5"/>
    <w:rsid w:val="00186D0F"/>
    <w:rsid w:val="00187585"/>
    <w:rsid w:val="0018769C"/>
    <w:rsid w:val="00187FD0"/>
    <w:rsid w:val="0019005C"/>
    <w:rsid w:val="001902F5"/>
    <w:rsid w:val="00190603"/>
    <w:rsid w:val="00190B0E"/>
    <w:rsid w:val="00190BDD"/>
    <w:rsid w:val="00190C53"/>
    <w:rsid w:val="001914CA"/>
    <w:rsid w:val="001914DB"/>
    <w:rsid w:val="001915A4"/>
    <w:rsid w:val="00191776"/>
    <w:rsid w:val="00191DD5"/>
    <w:rsid w:val="00192257"/>
    <w:rsid w:val="00192488"/>
    <w:rsid w:val="001928A6"/>
    <w:rsid w:val="001930B8"/>
    <w:rsid w:val="00193FCD"/>
    <w:rsid w:val="00195261"/>
    <w:rsid w:val="00195290"/>
    <w:rsid w:val="0019549F"/>
    <w:rsid w:val="001955D0"/>
    <w:rsid w:val="001962BC"/>
    <w:rsid w:val="00196475"/>
    <w:rsid w:val="00196A34"/>
    <w:rsid w:val="00196CD3"/>
    <w:rsid w:val="001974F1"/>
    <w:rsid w:val="00197FFC"/>
    <w:rsid w:val="001A0327"/>
    <w:rsid w:val="001A0676"/>
    <w:rsid w:val="001A0C46"/>
    <w:rsid w:val="001A0E5A"/>
    <w:rsid w:val="001A1540"/>
    <w:rsid w:val="001A25C6"/>
    <w:rsid w:val="001A2652"/>
    <w:rsid w:val="001A29BC"/>
    <w:rsid w:val="001A2F10"/>
    <w:rsid w:val="001A3353"/>
    <w:rsid w:val="001A33B6"/>
    <w:rsid w:val="001A383A"/>
    <w:rsid w:val="001A3FED"/>
    <w:rsid w:val="001A4347"/>
    <w:rsid w:val="001A5526"/>
    <w:rsid w:val="001A5BC9"/>
    <w:rsid w:val="001A5FFC"/>
    <w:rsid w:val="001A60FD"/>
    <w:rsid w:val="001A696F"/>
    <w:rsid w:val="001A6AEF"/>
    <w:rsid w:val="001A6E62"/>
    <w:rsid w:val="001A70D8"/>
    <w:rsid w:val="001A782D"/>
    <w:rsid w:val="001A7889"/>
    <w:rsid w:val="001B0189"/>
    <w:rsid w:val="001B0892"/>
    <w:rsid w:val="001B0AE0"/>
    <w:rsid w:val="001B0CC0"/>
    <w:rsid w:val="001B131C"/>
    <w:rsid w:val="001B1C5D"/>
    <w:rsid w:val="001B210B"/>
    <w:rsid w:val="001B255E"/>
    <w:rsid w:val="001B25D8"/>
    <w:rsid w:val="001B2CFD"/>
    <w:rsid w:val="001B2D4E"/>
    <w:rsid w:val="001B3697"/>
    <w:rsid w:val="001B3957"/>
    <w:rsid w:val="001B3C93"/>
    <w:rsid w:val="001B428E"/>
    <w:rsid w:val="001B488B"/>
    <w:rsid w:val="001B49D5"/>
    <w:rsid w:val="001B4FCA"/>
    <w:rsid w:val="001B4FDF"/>
    <w:rsid w:val="001B56E3"/>
    <w:rsid w:val="001B5A07"/>
    <w:rsid w:val="001B5C66"/>
    <w:rsid w:val="001B6F47"/>
    <w:rsid w:val="001B7981"/>
    <w:rsid w:val="001B79DE"/>
    <w:rsid w:val="001C054C"/>
    <w:rsid w:val="001C18EC"/>
    <w:rsid w:val="001C1C0C"/>
    <w:rsid w:val="001C1CA6"/>
    <w:rsid w:val="001C2684"/>
    <w:rsid w:val="001C27EB"/>
    <w:rsid w:val="001C280F"/>
    <w:rsid w:val="001C2C6A"/>
    <w:rsid w:val="001C2E1C"/>
    <w:rsid w:val="001C2E24"/>
    <w:rsid w:val="001C2E2A"/>
    <w:rsid w:val="001C37DC"/>
    <w:rsid w:val="001C3E8D"/>
    <w:rsid w:val="001C45F9"/>
    <w:rsid w:val="001C4659"/>
    <w:rsid w:val="001C482E"/>
    <w:rsid w:val="001C4AD5"/>
    <w:rsid w:val="001C4F9B"/>
    <w:rsid w:val="001C533E"/>
    <w:rsid w:val="001C55F4"/>
    <w:rsid w:val="001C5AAD"/>
    <w:rsid w:val="001C5BB6"/>
    <w:rsid w:val="001C5C96"/>
    <w:rsid w:val="001C5DFE"/>
    <w:rsid w:val="001C6069"/>
    <w:rsid w:val="001C60A0"/>
    <w:rsid w:val="001C6C99"/>
    <w:rsid w:val="001C712D"/>
    <w:rsid w:val="001C7190"/>
    <w:rsid w:val="001C76F5"/>
    <w:rsid w:val="001C78F0"/>
    <w:rsid w:val="001C790B"/>
    <w:rsid w:val="001C7C10"/>
    <w:rsid w:val="001C7DF7"/>
    <w:rsid w:val="001D0F5B"/>
    <w:rsid w:val="001D0F7D"/>
    <w:rsid w:val="001D22FE"/>
    <w:rsid w:val="001D30EB"/>
    <w:rsid w:val="001D3306"/>
    <w:rsid w:val="001D33AC"/>
    <w:rsid w:val="001D3BAC"/>
    <w:rsid w:val="001D4320"/>
    <w:rsid w:val="001D472F"/>
    <w:rsid w:val="001D4873"/>
    <w:rsid w:val="001D4EC8"/>
    <w:rsid w:val="001D50C8"/>
    <w:rsid w:val="001D5157"/>
    <w:rsid w:val="001D536A"/>
    <w:rsid w:val="001D53EA"/>
    <w:rsid w:val="001D5429"/>
    <w:rsid w:val="001D5576"/>
    <w:rsid w:val="001D557C"/>
    <w:rsid w:val="001D565E"/>
    <w:rsid w:val="001D5F46"/>
    <w:rsid w:val="001D645C"/>
    <w:rsid w:val="001D660C"/>
    <w:rsid w:val="001D691D"/>
    <w:rsid w:val="001D6CEA"/>
    <w:rsid w:val="001D6F79"/>
    <w:rsid w:val="001D6FE1"/>
    <w:rsid w:val="001D70CC"/>
    <w:rsid w:val="001D7371"/>
    <w:rsid w:val="001D7D47"/>
    <w:rsid w:val="001D7DFA"/>
    <w:rsid w:val="001E0BA8"/>
    <w:rsid w:val="001E0CC7"/>
    <w:rsid w:val="001E0DFD"/>
    <w:rsid w:val="001E1112"/>
    <w:rsid w:val="001E1828"/>
    <w:rsid w:val="001E1E99"/>
    <w:rsid w:val="001E23DB"/>
    <w:rsid w:val="001E23E6"/>
    <w:rsid w:val="001E23E7"/>
    <w:rsid w:val="001E273E"/>
    <w:rsid w:val="001E2BAF"/>
    <w:rsid w:val="001E2C4C"/>
    <w:rsid w:val="001E45E9"/>
    <w:rsid w:val="001E4ABC"/>
    <w:rsid w:val="001E4BFD"/>
    <w:rsid w:val="001E4EBB"/>
    <w:rsid w:val="001E5333"/>
    <w:rsid w:val="001E5CE6"/>
    <w:rsid w:val="001E6544"/>
    <w:rsid w:val="001E65AD"/>
    <w:rsid w:val="001E6980"/>
    <w:rsid w:val="001E6C99"/>
    <w:rsid w:val="001E704B"/>
    <w:rsid w:val="001E7BCC"/>
    <w:rsid w:val="001F01DB"/>
    <w:rsid w:val="001F0ADE"/>
    <w:rsid w:val="001F125E"/>
    <w:rsid w:val="001F1B7A"/>
    <w:rsid w:val="001F32D6"/>
    <w:rsid w:val="001F3AA0"/>
    <w:rsid w:val="001F3F00"/>
    <w:rsid w:val="001F4219"/>
    <w:rsid w:val="001F42BE"/>
    <w:rsid w:val="001F5392"/>
    <w:rsid w:val="001F5EC8"/>
    <w:rsid w:val="001F5F8B"/>
    <w:rsid w:val="001F656F"/>
    <w:rsid w:val="001F6CB2"/>
    <w:rsid w:val="001F75B2"/>
    <w:rsid w:val="001F76F6"/>
    <w:rsid w:val="001F794E"/>
    <w:rsid w:val="0020067B"/>
    <w:rsid w:val="00200A99"/>
    <w:rsid w:val="002010A4"/>
    <w:rsid w:val="002010E6"/>
    <w:rsid w:val="00201372"/>
    <w:rsid w:val="0020137D"/>
    <w:rsid w:val="002014B2"/>
    <w:rsid w:val="00201A3A"/>
    <w:rsid w:val="00201D70"/>
    <w:rsid w:val="002026BF"/>
    <w:rsid w:val="00202CA8"/>
    <w:rsid w:val="0020334E"/>
    <w:rsid w:val="0020363E"/>
    <w:rsid w:val="00203C7E"/>
    <w:rsid w:val="00203CC8"/>
    <w:rsid w:val="0020416B"/>
    <w:rsid w:val="0020437F"/>
    <w:rsid w:val="002049A0"/>
    <w:rsid w:val="00204D18"/>
    <w:rsid w:val="00204E3C"/>
    <w:rsid w:val="00204F31"/>
    <w:rsid w:val="00204F94"/>
    <w:rsid w:val="00205884"/>
    <w:rsid w:val="00205D61"/>
    <w:rsid w:val="002060CB"/>
    <w:rsid w:val="002067A7"/>
    <w:rsid w:val="00206D8A"/>
    <w:rsid w:val="00206F73"/>
    <w:rsid w:val="00207084"/>
    <w:rsid w:val="00207DED"/>
    <w:rsid w:val="002106EA"/>
    <w:rsid w:val="002107EB"/>
    <w:rsid w:val="00210A0B"/>
    <w:rsid w:val="00210B00"/>
    <w:rsid w:val="00210E97"/>
    <w:rsid w:val="002110D7"/>
    <w:rsid w:val="0021186E"/>
    <w:rsid w:val="00211C2F"/>
    <w:rsid w:val="00211CF0"/>
    <w:rsid w:val="00212048"/>
    <w:rsid w:val="002122E5"/>
    <w:rsid w:val="002128F5"/>
    <w:rsid w:val="00212940"/>
    <w:rsid w:val="00212C76"/>
    <w:rsid w:val="00212F60"/>
    <w:rsid w:val="002133E4"/>
    <w:rsid w:val="002138F9"/>
    <w:rsid w:val="00213A6D"/>
    <w:rsid w:val="00213AA2"/>
    <w:rsid w:val="00214EDB"/>
    <w:rsid w:val="00214F3F"/>
    <w:rsid w:val="0021534E"/>
    <w:rsid w:val="0021540D"/>
    <w:rsid w:val="00215552"/>
    <w:rsid w:val="00215B87"/>
    <w:rsid w:val="00215BFC"/>
    <w:rsid w:val="00216125"/>
    <w:rsid w:val="0021620E"/>
    <w:rsid w:val="002163B6"/>
    <w:rsid w:val="002168A0"/>
    <w:rsid w:val="002169B2"/>
    <w:rsid w:val="00216BBD"/>
    <w:rsid w:val="00216E3C"/>
    <w:rsid w:val="00217BF4"/>
    <w:rsid w:val="00220010"/>
    <w:rsid w:val="00220058"/>
    <w:rsid w:val="00220127"/>
    <w:rsid w:val="0022014D"/>
    <w:rsid w:val="002202EB"/>
    <w:rsid w:val="00220664"/>
    <w:rsid w:val="00220760"/>
    <w:rsid w:val="0022088A"/>
    <w:rsid w:val="00220D29"/>
    <w:rsid w:val="00221271"/>
    <w:rsid w:val="002218B2"/>
    <w:rsid w:val="00221BF0"/>
    <w:rsid w:val="002223CB"/>
    <w:rsid w:val="002224DE"/>
    <w:rsid w:val="0022282A"/>
    <w:rsid w:val="00222D4C"/>
    <w:rsid w:val="00222EF3"/>
    <w:rsid w:val="00223D02"/>
    <w:rsid w:val="00223D6C"/>
    <w:rsid w:val="00223ECA"/>
    <w:rsid w:val="00223F50"/>
    <w:rsid w:val="00223F79"/>
    <w:rsid w:val="00224450"/>
    <w:rsid w:val="002244A8"/>
    <w:rsid w:val="002249FB"/>
    <w:rsid w:val="00224E5A"/>
    <w:rsid w:val="00225571"/>
    <w:rsid w:val="0022571B"/>
    <w:rsid w:val="002258C5"/>
    <w:rsid w:val="002258F7"/>
    <w:rsid w:val="00225E21"/>
    <w:rsid w:val="00226629"/>
    <w:rsid w:val="002267A0"/>
    <w:rsid w:val="002269BB"/>
    <w:rsid w:val="00226AEC"/>
    <w:rsid w:val="00226C76"/>
    <w:rsid w:val="00226DC2"/>
    <w:rsid w:val="00227754"/>
    <w:rsid w:val="002277B3"/>
    <w:rsid w:val="0022783D"/>
    <w:rsid w:val="0022795F"/>
    <w:rsid w:val="00227D41"/>
    <w:rsid w:val="00230B0B"/>
    <w:rsid w:val="00230BCA"/>
    <w:rsid w:val="00230F3C"/>
    <w:rsid w:val="00231679"/>
    <w:rsid w:val="00231F6A"/>
    <w:rsid w:val="002327E7"/>
    <w:rsid w:val="002328E5"/>
    <w:rsid w:val="00232AB9"/>
    <w:rsid w:val="0023305C"/>
    <w:rsid w:val="00233771"/>
    <w:rsid w:val="002337D6"/>
    <w:rsid w:val="00233A23"/>
    <w:rsid w:val="00233D95"/>
    <w:rsid w:val="00233F79"/>
    <w:rsid w:val="00234136"/>
    <w:rsid w:val="00234C69"/>
    <w:rsid w:val="002353DB"/>
    <w:rsid w:val="0023552B"/>
    <w:rsid w:val="0023566A"/>
    <w:rsid w:val="00235B5C"/>
    <w:rsid w:val="00235E00"/>
    <w:rsid w:val="0023605E"/>
    <w:rsid w:val="0023749D"/>
    <w:rsid w:val="00237627"/>
    <w:rsid w:val="00237A8E"/>
    <w:rsid w:val="0024040B"/>
    <w:rsid w:val="00240675"/>
    <w:rsid w:val="0024073A"/>
    <w:rsid w:val="002407BF"/>
    <w:rsid w:val="00240823"/>
    <w:rsid w:val="0024095D"/>
    <w:rsid w:val="00240DC5"/>
    <w:rsid w:val="00241028"/>
    <w:rsid w:val="0024154A"/>
    <w:rsid w:val="00241675"/>
    <w:rsid w:val="00241725"/>
    <w:rsid w:val="0024181D"/>
    <w:rsid w:val="0024230D"/>
    <w:rsid w:val="002429FF"/>
    <w:rsid w:val="00242E35"/>
    <w:rsid w:val="00242E3B"/>
    <w:rsid w:val="00242E77"/>
    <w:rsid w:val="00242FE7"/>
    <w:rsid w:val="0024313A"/>
    <w:rsid w:val="00243B80"/>
    <w:rsid w:val="00244935"/>
    <w:rsid w:val="00244A2A"/>
    <w:rsid w:val="00244DEC"/>
    <w:rsid w:val="00245131"/>
    <w:rsid w:val="0024514E"/>
    <w:rsid w:val="00245516"/>
    <w:rsid w:val="002457D0"/>
    <w:rsid w:val="0024595C"/>
    <w:rsid w:val="00245A1B"/>
    <w:rsid w:val="00245E90"/>
    <w:rsid w:val="00246187"/>
    <w:rsid w:val="00246288"/>
    <w:rsid w:val="00246464"/>
    <w:rsid w:val="00246492"/>
    <w:rsid w:val="00246834"/>
    <w:rsid w:val="0024689E"/>
    <w:rsid w:val="00246D0E"/>
    <w:rsid w:val="0024736F"/>
    <w:rsid w:val="00247690"/>
    <w:rsid w:val="002479CE"/>
    <w:rsid w:val="00247C27"/>
    <w:rsid w:val="002505A1"/>
    <w:rsid w:val="00250E64"/>
    <w:rsid w:val="00251535"/>
    <w:rsid w:val="00251B07"/>
    <w:rsid w:val="00251B23"/>
    <w:rsid w:val="00251BF4"/>
    <w:rsid w:val="00251E14"/>
    <w:rsid w:val="002520F2"/>
    <w:rsid w:val="00252180"/>
    <w:rsid w:val="002524BB"/>
    <w:rsid w:val="0025252A"/>
    <w:rsid w:val="0025260C"/>
    <w:rsid w:val="00252782"/>
    <w:rsid w:val="00252CBA"/>
    <w:rsid w:val="00252FC6"/>
    <w:rsid w:val="002530FF"/>
    <w:rsid w:val="00253394"/>
    <w:rsid w:val="002537F7"/>
    <w:rsid w:val="0025386E"/>
    <w:rsid w:val="002540BE"/>
    <w:rsid w:val="002544A5"/>
    <w:rsid w:val="002544F3"/>
    <w:rsid w:val="00254671"/>
    <w:rsid w:val="002548B6"/>
    <w:rsid w:val="0025494C"/>
    <w:rsid w:val="00254CE3"/>
    <w:rsid w:val="00254F10"/>
    <w:rsid w:val="002551F5"/>
    <w:rsid w:val="00255C77"/>
    <w:rsid w:val="002560EA"/>
    <w:rsid w:val="002562B3"/>
    <w:rsid w:val="00256381"/>
    <w:rsid w:val="00256749"/>
    <w:rsid w:val="00256DF7"/>
    <w:rsid w:val="00256E6C"/>
    <w:rsid w:val="00256F62"/>
    <w:rsid w:val="00256FAD"/>
    <w:rsid w:val="00257134"/>
    <w:rsid w:val="0025732F"/>
    <w:rsid w:val="00257574"/>
    <w:rsid w:val="00257CBB"/>
    <w:rsid w:val="002605AE"/>
    <w:rsid w:val="00260949"/>
    <w:rsid w:val="0026116F"/>
    <w:rsid w:val="002611EC"/>
    <w:rsid w:val="00261507"/>
    <w:rsid w:val="002619EB"/>
    <w:rsid w:val="00261F75"/>
    <w:rsid w:val="0026212A"/>
    <w:rsid w:val="00262818"/>
    <w:rsid w:val="0026298A"/>
    <w:rsid w:val="002629AD"/>
    <w:rsid w:val="00262B4E"/>
    <w:rsid w:val="00262CCA"/>
    <w:rsid w:val="00262F68"/>
    <w:rsid w:val="0026300C"/>
    <w:rsid w:val="00264AAE"/>
    <w:rsid w:val="0026591D"/>
    <w:rsid w:val="00265E3A"/>
    <w:rsid w:val="00266334"/>
    <w:rsid w:val="00266B63"/>
    <w:rsid w:val="00266FC0"/>
    <w:rsid w:val="0027042E"/>
    <w:rsid w:val="00270604"/>
    <w:rsid w:val="002706CE"/>
    <w:rsid w:val="00270CE9"/>
    <w:rsid w:val="00271516"/>
    <w:rsid w:val="0027170F"/>
    <w:rsid w:val="00271879"/>
    <w:rsid w:val="00271C5B"/>
    <w:rsid w:val="00271D33"/>
    <w:rsid w:val="0027200A"/>
    <w:rsid w:val="00272EF6"/>
    <w:rsid w:val="00273A37"/>
    <w:rsid w:val="00273E89"/>
    <w:rsid w:val="002741A8"/>
    <w:rsid w:val="00274FFF"/>
    <w:rsid w:val="00275294"/>
    <w:rsid w:val="002755A4"/>
    <w:rsid w:val="002756D1"/>
    <w:rsid w:val="002758CF"/>
    <w:rsid w:val="00275D54"/>
    <w:rsid w:val="00275EBF"/>
    <w:rsid w:val="00276462"/>
    <w:rsid w:val="0027675A"/>
    <w:rsid w:val="0027694A"/>
    <w:rsid w:val="00276993"/>
    <w:rsid w:val="00277378"/>
    <w:rsid w:val="0027791D"/>
    <w:rsid w:val="00277C09"/>
    <w:rsid w:val="00277C53"/>
    <w:rsid w:val="00280DC7"/>
    <w:rsid w:val="00280EC5"/>
    <w:rsid w:val="002816F1"/>
    <w:rsid w:val="002817D1"/>
    <w:rsid w:val="0028196A"/>
    <w:rsid w:val="00281B36"/>
    <w:rsid w:val="00281D38"/>
    <w:rsid w:val="00282187"/>
    <w:rsid w:val="00282249"/>
    <w:rsid w:val="002823A2"/>
    <w:rsid w:val="00282436"/>
    <w:rsid w:val="00282BBB"/>
    <w:rsid w:val="002830BD"/>
    <w:rsid w:val="002830D1"/>
    <w:rsid w:val="0028359A"/>
    <w:rsid w:val="0028405A"/>
    <w:rsid w:val="00284060"/>
    <w:rsid w:val="002841C7"/>
    <w:rsid w:val="00284820"/>
    <w:rsid w:val="00284B43"/>
    <w:rsid w:val="0028565D"/>
    <w:rsid w:val="002856DB"/>
    <w:rsid w:val="00285FBA"/>
    <w:rsid w:val="00286493"/>
    <w:rsid w:val="002864A8"/>
    <w:rsid w:val="0028675A"/>
    <w:rsid w:val="002868DC"/>
    <w:rsid w:val="00286991"/>
    <w:rsid w:val="00286E02"/>
    <w:rsid w:val="00287296"/>
    <w:rsid w:val="002872BA"/>
    <w:rsid w:val="002874FE"/>
    <w:rsid w:val="00287587"/>
    <w:rsid w:val="00287A92"/>
    <w:rsid w:val="00287E5C"/>
    <w:rsid w:val="00290D8C"/>
    <w:rsid w:val="002913E3"/>
    <w:rsid w:val="002914D3"/>
    <w:rsid w:val="00291599"/>
    <w:rsid w:val="00291790"/>
    <w:rsid w:val="00291CA0"/>
    <w:rsid w:val="002922B0"/>
    <w:rsid w:val="002924FE"/>
    <w:rsid w:val="00292A23"/>
    <w:rsid w:val="00292BE1"/>
    <w:rsid w:val="00292E64"/>
    <w:rsid w:val="00292FD0"/>
    <w:rsid w:val="00292FE4"/>
    <w:rsid w:val="0029354B"/>
    <w:rsid w:val="002935EE"/>
    <w:rsid w:val="002936B6"/>
    <w:rsid w:val="00293B68"/>
    <w:rsid w:val="00293EEE"/>
    <w:rsid w:val="00294140"/>
    <w:rsid w:val="00294451"/>
    <w:rsid w:val="0029450C"/>
    <w:rsid w:val="00294C88"/>
    <w:rsid w:val="002951C0"/>
    <w:rsid w:val="0029587A"/>
    <w:rsid w:val="00295A6D"/>
    <w:rsid w:val="00295BAB"/>
    <w:rsid w:val="00295DB7"/>
    <w:rsid w:val="00297577"/>
    <w:rsid w:val="00297B27"/>
    <w:rsid w:val="002A0E74"/>
    <w:rsid w:val="002A11CC"/>
    <w:rsid w:val="002A1571"/>
    <w:rsid w:val="002A1B91"/>
    <w:rsid w:val="002A219E"/>
    <w:rsid w:val="002A2235"/>
    <w:rsid w:val="002A2F33"/>
    <w:rsid w:val="002A328E"/>
    <w:rsid w:val="002A367F"/>
    <w:rsid w:val="002A36D5"/>
    <w:rsid w:val="002A3837"/>
    <w:rsid w:val="002A3C6F"/>
    <w:rsid w:val="002A3C93"/>
    <w:rsid w:val="002A4359"/>
    <w:rsid w:val="002A438C"/>
    <w:rsid w:val="002A43A9"/>
    <w:rsid w:val="002A4B14"/>
    <w:rsid w:val="002A5696"/>
    <w:rsid w:val="002A5A72"/>
    <w:rsid w:val="002A5C44"/>
    <w:rsid w:val="002A5CFA"/>
    <w:rsid w:val="002A67BF"/>
    <w:rsid w:val="002A6A04"/>
    <w:rsid w:val="002A6B9A"/>
    <w:rsid w:val="002A73E9"/>
    <w:rsid w:val="002A7A1C"/>
    <w:rsid w:val="002A7CFF"/>
    <w:rsid w:val="002A7F4F"/>
    <w:rsid w:val="002B00C6"/>
    <w:rsid w:val="002B00E5"/>
    <w:rsid w:val="002B00EF"/>
    <w:rsid w:val="002B0880"/>
    <w:rsid w:val="002B0916"/>
    <w:rsid w:val="002B0EDB"/>
    <w:rsid w:val="002B0FA1"/>
    <w:rsid w:val="002B1154"/>
    <w:rsid w:val="002B16A0"/>
    <w:rsid w:val="002B1808"/>
    <w:rsid w:val="002B1955"/>
    <w:rsid w:val="002B1A10"/>
    <w:rsid w:val="002B1FE3"/>
    <w:rsid w:val="002B2761"/>
    <w:rsid w:val="002B29FF"/>
    <w:rsid w:val="002B2BC9"/>
    <w:rsid w:val="002B2E99"/>
    <w:rsid w:val="002B2FE7"/>
    <w:rsid w:val="002B317C"/>
    <w:rsid w:val="002B37E9"/>
    <w:rsid w:val="002B3A4B"/>
    <w:rsid w:val="002B3D99"/>
    <w:rsid w:val="002B429E"/>
    <w:rsid w:val="002B44AF"/>
    <w:rsid w:val="002B46A3"/>
    <w:rsid w:val="002B4786"/>
    <w:rsid w:val="002B47BB"/>
    <w:rsid w:val="002B4AE7"/>
    <w:rsid w:val="002B4B9D"/>
    <w:rsid w:val="002B53C1"/>
    <w:rsid w:val="002B5E9C"/>
    <w:rsid w:val="002B625B"/>
    <w:rsid w:val="002B64F9"/>
    <w:rsid w:val="002B6BB7"/>
    <w:rsid w:val="002B7552"/>
    <w:rsid w:val="002B7647"/>
    <w:rsid w:val="002C0520"/>
    <w:rsid w:val="002C0819"/>
    <w:rsid w:val="002C0B31"/>
    <w:rsid w:val="002C10DA"/>
    <w:rsid w:val="002C15FD"/>
    <w:rsid w:val="002C1888"/>
    <w:rsid w:val="002C1957"/>
    <w:rsid w:val="002C20ED"/>
    <w:rsid w:val="002C2296"/>
    <w:rsid w:val="002C2840"/>
    <w:rsid w:val="002C2E10"/>
    <w:rsid w:val="002C316F"/>
    <w:rsid w:val="002C3778"/>
    <w:rsid w:val="002C38B3"/>
    <w:rsid w:val="002C44B7"/>
    <w:rsid w:val="002C4828"/>
    <w:rsid w:val="002C4CD5"/>
    <w:rsid w:val="002C5746"/>
    <w:rsid w:val="002C583E"/>
    <w:rsid w:val="002C5E93"/>
    <w:rsid w:val="002C615D"/>
    <w:rsid w:val="002C625F"/>
    <w:rsid w:val="002C6302"/>
    <w:rsid w:val="002C6E9D"/>
    <w:rsid w:val="002C7491"/>
    <w:rsid w:val="002D0099"/>
    <w:rsid w:val="002D07F2"/>
    <w:rsid w:val="002D0D45"/>
    <w:rsid w:val="002D1123"/>
    <w:rsid w:val="002D1263"/>
    <w:rsid w:val="002D128E"/>
    <w:rsid w:val="002D19F1"/>
    <w:rsid w:val="002D1CA2"/>
    <w:rsid w:val="002D1DB1"/>
    <w:rsid w:val="002D2673"/>
    <w:rsid w:val="002D2E3E"/>
    <w:rsid w:val="002D31B2"/>
    <w:rsid w:val="002D3306"/>
    <w:rsid w:val="002D338B"/>
    <w:rsid w:val="002D377F"/>
    <w:rsid w:val="002D395C"/>
    <w:rsid w:val="002D39FA"/>
    <w:rsid w:val="002D3A9F"/>
    <w:rsid w:val="002D3C53"/>
    <w:rsid w:val="002D3E1C"/>
    <w:rsid w:val="002D474E"/>
    <w:rsid w:val="002D4DD1"/>
    <w:rsid w:val="002D4FCD"/>
    <w:rsid w:val="002D524A"/>
    <w:rsid w:val="002D553E"/>
    <w:rsid w:val="002D5B72"/>
    <w:rsid w:val="002D648E"/>
    <w:rsid w:val="002D6C3A"/>
    <w:rsid w:val="002D708F"/>
    <w:rsid w:val="002D73C1"/>
    <w:rsid w:val="002E0095"/>
    <w:rsid w:val="002E01A7"/>
    <w:rsid w:val="002E0287"/>
    <w:rsid w:val="002E0455"/>
    <w:rsid w:val="002E0EBB"/>
    <w:rsid w:val="002E1D50"/>
    <w:rsid w:val="002E2A82"/>
    <w:rsid w:val="002E2BB2"/>
    <w:rsid w:val="002E2D88"/>
    <w:rsid w:val="002E2DBD"/>
    <w:rsid w:val="002E36B9"/>
    <w:rsid w:val="002E37FF"/>
    <w:rsid w:val="002E38E5"/>
    <w:rsid w:val="002E4EEA"/>
    <w:rsid w:val="002E553F"/>
    <w:rsid w:val="002E5B87"/>
    <w:rsid w:val="002E5FBB"/>
    <w:rsid w:val="002E64DD"/>
    <w:rsid w:val="002E664E"/>
    <w:rsid w:val="002E6729"/>
    <w:rsid w:val="002E6AF8"/>
    <w:rsid w:val="002E6B6A"/>
    <w:rsid w:val="002E739B"/>
    <w:rsid w:val="002E7553"/>
    <w:rsid w:val="002E75E2"/>
    <w:rsid w:val="002E7E92"/>
    <w:rsid w:val="002F0A76"/>
    <w:rsid w:val="002F0D06"/>
    <w:rsid w:val="002F0FB5"/>
    <w:rsid w:val="002F1578"/>
    <w:rsid w:val="002F1943"/>
    <w:rsid w:val="002F19B4"/>
    <w:rsid w:val="002F1ADF"/>
    <w:rsid w:val="002F1E2F"/>
    <w:rsid w:val="002F2501"/>
    <w:rsid w:val="002F25BE"/>
    <w:rsid w:val="002F2F71"/>
    <w:rsid w:val="002F32E9"/>
    <w:rsid w:val="002F3D67"/>
    <w:rsid w:val="002F4820"/>
    <w:rsid w:val="002F499F"/>
    <w:rsid w:val="002F4CBD"/>
    <w:rsid w:val="002F4F7C"/>
    <w:rsid w:val="002F541B"/>
    <w:rsid w:val="002F56BA"/>
    <w:rsid w:val="002F59D4"/>
    <w:rsid w:val="002F5DC7"/>
    <w:rsid w:val="002F61D7"/>
    <w:rsid w:val="002F6DA6"/>
    <w:rsid w:val="002F6F8C"/>
    <w:rsid w:val="002F703B"/>
    <w:rsid w:val="002F748D"/>
    <w:rsid w:val="002F74A1"/>
    <w:rsid w:val="002F7566"/>
    <w:rsid w:val="002F7853"/>
    <w:rsid w:val="002F79C0"/>
    <w:rsid w:val="0030020D"/>
    <w:rsid w:val="0030041C"/>
    <w:rsid w:val="00301287"/>
    <w:rsid w:val="00301A3E"/>
    <w:rsid w:val="00301EC2"/>
    <w:rsid w:val="00301EFC"/>
    <w:rsid w:val="003029B1"/>
    <w:rsid w:val="00302B8C"/>
    <w:rsid w:val="00302CB2"/>
    <w:rsid w:val="00302CDE"/>
    <w:rsid w:val="003036A1"/>
    <w:rsid w:val="00303985"/>
    <w:rsid w:val="00303B98"/>
    <w:rsid w:val="00304158"/>
    <w:rsid w:val="0030462F"/>
    <w:rsid w:val="00304C03"/>
    <w:rsid w:val="00304C54"/>
    <w:rsid w:val="003060AC"/>
    <w:rsid w:val="00306577"/>
    <w:rsid w:val="003067AA"/>
    <w:rsid w:val="00306A27"/>
    <w:rsid w:val="00306A86"/>
    <w:rsid w:val="00306FFA"/>
    <w:rsid w:val="00307F74"/>
    <w:rsid w:val="00310B87"/>
    <w:rsid w:val="00311A39"/>
    <w:rsid w:val="0031211D"/>
    <w:rsid w:val="003123F9"/>
    <w:rsid w:val="0031244A"/>
    <w:rsid w:val="00312673"/>
    <w:rsid w:val="00312BC4"/>
    <w:rsid w:val="00312D63"/>
    <w:rsid w:val="00312ED4"/>
    <w:rsid w:val="0031309C"/>
    <w:rsid w:val="0031339E"/>
    <w:rsid w:val="0031389C"/>
    <w:rsid w:val="00313BA0"/>
    <w:rsid w:val="00313FCE"/>
    <w:rsid w:val="00314375"/>
    <w:rsid w:val="00314716"/>
    <w:rsid w:val="00315109"/>
    <w:rsid w:val="003155AD"/>
    <w:rsid w:val="0031581A"/>
    <w:rsid w:val="0031587D"/>
    <w:rsid w:val="003158E4"/>
    <w:rsid w:val="00315995"/>
    <w:rsid w:val="00315D22"/>
    <w:rsid w:val="00315E90"/>
    <w:rsid w:val="0031606F"/>
    <w:rsid w:val="00316E48"/>
    <w:rsid w:val="00317884"/>
    <w:rsid w:val="003178C0"/>
    <w:rsid w:val="00317C3D"/>
    <w:rsid w:val="003202FF"/>
    <w:rsid w:val="003206DB"/>
    <w:rsid w:val="003207F2"/>
    <w:rsid w:val="00320E73"/>
    <w:rsid w:val="0032202C"/>
    <w:rsid w:val="0032273C"/>
    <w:rsid w:val="003227F6"/>
    <w:rsid w:val="0032290A"/>
    <w:rsid w:val="00322D3E"/>
    <w:rsid w:val="003230A7"/>
    <w:rsid w:val="003231CE"/>
    <w:rsid w:val="00323341"/>
    <w:rsid w:val="003235D2"/>
    <w:rsid w:val="00323604"/>
    <w:rsid w:val="00324644"/>
    <w:rsid w:val="00324BA0"/>
    <w:rsid w:val="00324ECE"/>
    <w:rsid w:val="00324F2E"/>
    <w:rsid w:val="00325019"/>
    <w:rsid w:val="003255A8"/>
    <w:rsid w:val="00325B6F"/>
    <w:rsid w:val="00325BBE"/>
    <w:rsid w:val="00326143"/>
    <w:rsid w:val="003265FC"/>
    <w:rsid w:val="003266FB"/>
    <w:rsid w:val="00326B89"/>
    <w:rsid w:val="00326D8A"/>
    <w:rsid w:val="0032763B"/>
    <w:rsid w:val="00327660"/>
    <w:rsid w:val="00327B26"/>
    <w:rsid w:val="00327C66"/>
    <w:rsid w:val="00327DFF"/>
    <w:rsid w:val="00330118"/>
    <w:rsid w:val="0033014E"/>
    <w:rsid w:val="003301E6"/>
    <w:rsid w:val="0033093C"/>
    <w:rsid w:val="0033097E"/>
    <w:rsid w:val="00330B55"/>
    <w:rsid w:val="003312BD"/>
    <w:rsid w:val="003325B8"/>
    <w:rsid w:val="003325CB"/>
    <w:rsid w:val="00332B95"/>
    <w:rsid w:val="003333F3"/>
    <w:rsid w:val="0033412D"/>
    <w:rsid w:val="00334B48"/>
    <w:rsid w:val="00334BBB"/>
    <w:rsid w:val="00334D90"/>
    <w:rsid w:val="00335424"/>
    <w:rsid w:val="003361C1"/>
    <w:rsid w:val="003361CB"/>
    <w:rsid w:val="0033673B"/>
    <w:rsid w:val="0033708F"/>
    <w:rsid w:val="003378C8"/>
    <w:rsid w:val="00337A1F"/>
    <w:rsid w:val="00337BED"/>
    <w:rsid w:val="00337C5E"/>
    <w:rsid w:val="00340098"/>
    <w:rsid w:val="00340270"/>
    <w:rsid w:val="00340478"/>
    <w:rsid w:val="00341601"/>
    <w:rsid w:val="00341A8B"/>
    <w:rsid w:val="00341E42"/>
    <w:rsid w:val="00341F0B"/>
    <w:rsid w:val="00342A77"/>
    <w:rsid w:val="00343436"/>
    <w:rsid w:val="0034403D"/>
    <w:rsid w:val="00344550"/>
    <w:rsid w:val="00344576"/>
    <w:rsid w:val="00344940"/>
    <w:rsid w:val="00344A11"/>
    <w:rsid w:val="00344C2F"/>
    <w:rsid w:val="00344D3F"/>
    <w:rsid w:val="00344D86"/>
    <w:rsid w:val="00345A20"/>
    <w:rsid w:val="00345BFA"/>
    <w:rsid w:val="003469CA"/>
    <w:rsid w:val="00346C09"/>
    <w:rsid w:val="003472E1"/>
    <w:rsid w:val="0034773F"/>
    <w:rsid w:val="003503CF"/>
    <w:rsid w:val="00350B53"/>
    <w:rsid w:val="0035194D"/>
    <w:rsid w:val="003519DF"/>
    <w:rsid w:val="00351E35"/>
    <w:rsid w:val="00352DA7"/>
    <w:rsid w:val="0035305C"/>
    <w:rsid w:val="00353093"/>
    <w:rsid w:val="0035394F"/>
    <w:rsid w:val="00353B82"/>
    <w:rsid w:val="00353E51"/>
    <w:rsid w:val="00354B93"/>
    <w:rsid w:val="00354C3F"/>
    <w:rsid w:val="00354D60"/>
    <w:rsid w:val="00354DF4"/>
    <w:rsid w:val="003557D5"/>
    <w:rsid w:val="003557E1"/>
    <w:rsid w:val="003565B1"/>
    <w:rsid w:val="00356CC1"/>
    <w:rsid w:val="0035709B"/>
    <w:rsid w:val="00357618"/>
    <w:rsid w:val="003579DA"/>
    <w:rsid w:val="003600E5"/>
    <w:rsid w:val="00360668"/>
    <w:rsid w:val="00361067"/>
    <w:rsid w:val="00361623"/>
    <w:rsid w:val="00361937"/>
    <w:rsid w:val="00361A0B"/>
    <w:rsid w:val="00361C18"/>
    <w:rsid w:val="00362215"/>
    <w:rsid w:val="003622C4"/>
    <w:rsid w:val="0036265C"/>
    <w:rsid w:val="00362767"/>
    <w:rsid w:val="0036276E"/>
    <w:rsid w:val="0036287E"/>
    <w:rsid w:val="0036294D"/>
    <w:rsid w:val="00362A7B"/>
    <w:rsid w:val="00362B43"/>
    <w:rsid w:val="00362C4F"/>
    <w:rsid w:val="00363ACB"/>
    <w:rsid w:val="00363D1F"/>
    <w:rsid w:val="003642AA"/>
    <w:rsid w:val="00364B0A"/>
    <w:rsid w:val="00364B76"/>
    <w:rsid w:val="00364C07"/>
    <w:rsid w:val="00364C2F"/>
    <w:rsid w:val="00364FC4"/>
    <w:rsid w:val="00365269"/>
    <w:rsid w:val="0036539C"/>
    <w:rsid w:val="00365414"/>
    <w:rsid w:val="0036561E"/>
    <w:rsid w:val="0036591E"/>
    <w:rsid w:val="00365B5E"/>
    <w:rsid w:val="00365CAD"/>
    <w:rsid w:val="00365D19"/>
    <w:rsid w:val="0036688E"/>
    <w:rsid w:val="00366BBB"/>
    <w:rsid w:val="00366F69"/>
    <w:rsid w:val="00366FFC"/>
    <w:rsid w:val="00367504"/>
    <w:rsid w:val="00367807"/>
    <w:rsid w:val="003678D3"/>
    <w:rsid w:val="00367EE3"/>
    <w:rsid w:val="003705D1"/>
    <w:rsid w:val="00370908"/>
    <w:rsid w:val="00370B51"/>
    <w:rsid w:val="00370BB7"/>
    <w:rsid w:val="00370C10"/>
    <w:rsid w:val="00370D0D"/>
    <w:rsid w:val="0037174B"/>
    <w:rsid w:val="003727D5"/>
    <w:rsid w:val="00373398"/>
    <w:rsid w:val="0037438C"/>
    <w:rsid w:val="0037470F"/>
    <w:rsid w:val="00374786"/>
    <w:rsid w:val="00374F71"/>
    <w:rsid w:val="0037505F"/>
    <w:rsid w:val="00375435"/>
    <w:rsid w:val="0037557A"/>
    <w:rsid w:val="00375800"/>
    <w:rsid w:val="00375C34"/>
    <w:rsid w:val="00375E43"/>
    <w:rsid w:val="00376101"/>
    <w:rsid w:val="0037618D"/>
    <w:rsid w:val="003764E2"/>
    <w:rsid w:val="0037651B"/>
    <w:rsid w:val="00376780"/>
    <w:rsid w:val="0037706D"/>
    <w:rsid w:val="00377468"/>
    <w:rsid w:val="003775B1"/>
    <w:rsid w:val="003779D7"/>
    <w:rsid w:val="00377B2B"/>
    <w:rsid w:val="00377E0E"/>
    <w:rsid w:val="003801F7"/>
    <w:rsid w:val="00380305"/>
    <w:rsid w:val="003804E9"/>
    <w:rsid w:val="003805D3"/>
    <w:rsid w:val="003809E4"/>
    <w:rsid w:val="00380B05"/>
    <w:rsid w:val="00380B90"/>
    <w:rsid w:val="003813EB"/>
    <w:rsid w:val="0038146E"/>
    <w:rsid w:val="00381E62"/>
    <w:rsid w:val="00382AE5"/>
    <w:rsid w:val="00382DF7"/>
    <w:rsid w:val="003844C0"/>
    <w:rsid w:val="003846CF"/>
    <w:rsid w:val="00384A19"/>
    <w:rsid w:val="00384BB3"/>
    <w:rsid w:val="00386076"/>
    <w:rsid w:val="003869CA"/>
    <w:rsid w:val="00386BD6"/>
    <w:rsid w:val="00386C0B"/>
    <w:rsid w:val="00386D7D"/>
    <w:rsid w:val="00386E09"/>
    <w:rsid w:val="0038712E"/>
    <w:rsid w:val="0038725A"/>
    <w:rsid w:val="003877DF"/>
    <w:rsid w:val="00387F3E"/>
    <w:rsid w:val="003907B5"/>
    <w:rsid w:val="00390959"/>
    <w:rsid w:val="00390A46"/>
    <w:rsid w:val="00390D89"/>
    <w:rsid w:val="00390DA4"/>
    <w:rsid w:val="00391AF4"/>
    <w:rsid w:val="00391F37"/>
    <w:rsid w:val="0039213C"/>
    <w:rsid w:val="00392A2D"/>
    <w:rsid w:val="00392DF8"/>
    <w:rsid w:val="00393AE9"/>
    <w:rsid w:val="00393DE3"/>
    <w:rsid w:val="00394124"/>
    <w:rsid w:val="00394140"/>
    <w:rsid w:val="003942E8"/>
    <w:rsid w:val="00394D86"/>
    <w:rsid w:val="003952AE"/>
    <w:rsid w:val="00395AE3"/>
    <w:rsid w:val="00395B54"/>
    <w:rsid w:val="00395C50"/>
    <w:rsid w:val="00396074"/>
    <w:rsid w:val="003961E3"/>
    <w:rsid w:val="003963A8"/>
    <w:rsid w:val="00396489"/>
    <w:rsid w:val="00396746"/>
    <w:rsid w:val="00396767"/>
    <w:rsid w:val="00396BAA"/>
    <w:rsid w:val="00396DEE"/>
    <w:rsid w:val="00396EB9"/>
    <w:rsid w:val="0039752B"/>
    <w:rsid w:val="0039780A"/>
    <w:rsid w:val="00397A39"/>
    <w:rsid w:val="00397B21"/>
    <w:rsid w:val="003A160B"/>
    <w:rsid w:val="003A19E4"/>
    <w:rsid w:val="003A1C27"/>
    <w:rsid w:val="003A1D63"/>
    <w:rsid w:val="003A20EC"/>
    <w:rsid w:val="003A2213"/>
    <w:rsid w:val="003A2399"/>
    <w:rsid w:val="003A2400"/>
    <w:rsid w:val="003A24B1"/>
    <w:rsid w:val="003A26B3"/>
    <w:rsid w:val="003A2E18"/>
    <w:rsid w:val="003A3B31"/>
    <w:rsid w:val="003A4612"/>
    <w:rsid w:val="003A4918"/>
    <w:rsid w:val="003A4FA1"/>
    <w:rsid w:val="003A5151"/>
    <w:rsid w:val="003A5C83"/>
    <w:rsid w:val="003A63A7"/>
    <w:rsid w:val="003A6438"/>
    <w:rsid w:val="003A6F8C"/>
    <w:rsid w:val="003A7083"/>
    <w:rsid w:val="003A70FD"/>
    <w:rsid w:val="003A73B7"/>
    <w:rsid w:val="003A7688"/>
    <w:rsid w:val="003B0148"/>
    <w:rsid w:val="003B0650"/>
    <w:rsid w:val="003B0924"/>
    <w:rsid w:val="003B1097"/>
    <w:rsid w:val="003B11C8"/>
    <w:rsid w:val="003B143C"/>
    <w:rsid w:val="003B2231"/>
    <w:rsid w:val="003B26A3"/>
    <w:rsid w:val="003B2EE3"/>
    <w:rsid w:val="003B3025"/>
    <w:rsid w:val="003B384F"/>
    <w:rsid w:val="003B3CFF"/>
    <w:rsid w:val="003B456F"/>
    <w:rsid w:val="003B45A5"/>
    <w:rsid w:val="003B4B8F"/>
    <w:rsid w:val="003B4BF2"/>
    <w:rsid w:val="003B510F"/>
    <w:rsid w:val="003B559B"/>
    <w:rsid w:val="003B5901"/>
    <w:rsid w:val="003B5F26"/>
    <w:rsid w:val="003B650D"/>
    <w:rsid w:val="003B6790"/>
    <w:rsid w:val="003B7F07"/>
    <w:rsid w:val="003C05E4"/>
    <w:rsid w:val="003C0680"/>
    <w:rsid w:val="003C07D3"/>
    <w:rsid w:val="003C0E63"/>
    <w:rsid w:val="003C10AC"/>
    <w:rsid w:val="003C1A69"/>
    <w:rsid w:val="003C1B65"/>
    <w:rsid w:val="003C1BD6"/>
    <w:rsid w:val="003C20CF"/>
    <w:rsid w:val="003C2139"/>
    <w:rsid w:val="003C239F"/>
    <w:rsid w:val="003C2499"/>
    <w:rsid w:val="003C30D5"/>
    <w:rsid w:val="003C318D"/>
    <w:rsid w:val="003C351E"/>
    <w:rsid w:val="003C36E6"/>
    <w:rsid w:val="003C375F"/>
    <w:rsid w:val="003C3820"/>
    <w:rsid w:val="003C38E6"/>
    <w:rsid w:val="003C3FC6"/>
    <w:rsid w:val="003C3FD7"/>
    <w:rsid w:val="003C4002"/>
    <w:rsid w:val="003C4FB9"/>
    <w:rsid w:val="003C55F0"/>
    <w:rsid w:val="003C66A2"/>
    <w:rsid w:val="003C683C"/>
    <w:rsid w:val="003C6DE5"/>
    <w:rsid w:val="003C6EDE"/>
    <w:rsid w:val="003C728A"/>
    <w:rsid w:val="003C73FE"/>
    <w:rsid w:val="003C740B"/>
    <w:rsid w:val="003C7EA8"/>
    <w:rsid w:val="003D0522"/>
    <w:rsid w:val="003D08DB"/>
    <w:rsid w:val="003D0923"/>
    <w:rsid w:val="003D09F0"/>
    <w:rsid w:val="003D0B20"/>
    <w:rsid w:val="003D133B"/>
    <w:rsid w:val="003D150E"/>
    <w:rsid w:val="003D1592"/>
    <w:rsid w:val="003D1C30"/>
    <w:rsid w:val="003D1D7C"/>
    <w:rsid w:val="003D1D95"/>
    <w:rsid w:val="003D1E52"/>
    <w:rsid w:val="003D27C2"/>
    <w:rsid w:val="003D2CDF"/>
    <w:rsid w:val="003D3453"/>
    <w:rsid w:val="003D3498"/>
    <w:rsid w:val="003D36DB"/>
    <w:rsid w:val="003D3AFC"/>
    <w:rsid w:val="003D3D58"/>
    <w:rsid w:val="003D3E72"/>
    <w:rsid w:val="003D4970"/>
    <w:rsid w:val="003D503C"/>
    <w:rsid w:val="003D527B"/>
    <w:rsid w:val="003D60C9"/>
    <w:rsid w:val="003D6108"/>
    <w:rsid w:val="003D64BA"/>
    <w:rsid w:val="003D6522"/>
    <w:rsid w:val="003D69A1"/>
    <w:rsid w:val="003D77AD"/>
    <w:rsid w:val="003D7839"/>
    <w:rsid w:val="003E004C"/>
    <w:rsid w:val="003E0090"/>
    <w:rsid w:val="003E0E1E"/>
    <w:rsid w:val="003E0FEC"/>
    <w:rsid w:val="003E1566"/>
    <w:rsid w:val="003E157D"/>
    <w:rsid w:val="003E1F6C"/>
    <w:rsid w:val="003E2092"/>
    <w:rsid w:val="003E2675"/>
    <w:rsid w:val="003E26B7"/>
    <w:rsid w:val="003E270A"/>
    <w:rsid w:val="003E2A81"/>
    <w:rsid w:val="003E2F80"/>
    <w:rsid w:val="003E2FE8"/>
    <w:rsid w:val="003E31B9"/>
    <w:rsid w:val="003E32E4"/>
    <w:rsid w:val="003E33DE"/>
    <w:rsid w:val="003E3691"/>
    <w:rsid w:val="003E3AF6"/>
    <w:rsid w:val="003E4833"/>
    <w:rsid w:val="003E50A1"/>
    <w:rsid w:val="003E520F"/>
    <w:rsid w:val="003E5D34"/>
    <w:rsid w:val="003E6452"/>
    <w:rsid w:val="003E6887"/>
    <w:rsid w:val="003E7537"/>
    <w:rsid w:val="003E77A0"/>
    <w:rsid w:val="003E79FE"/>
    <w:rsid w:val="003E7DD2"/>
    <w:rsid w:val="003F066E"/>
    <w:rsid w:val="003F09EB"/>
    <w:rsid w:val="003F0B34"/>
    <w:rsid w:val="003F1893"/>
    <w:rsid w:val="003F1BDE"/>
    <w:rsid w:val="003F1DA0"/>
    <w:rsid w:val="003F20F1"/>
    <w:rsid w:val="003F2152"/>
    <w:rsid w:val="003F2167"/>
    <w:rsid w:val="003F21CC"/>
    <w:rsid w:val="003F223F"/>
    <w:rsid w:val="003F27D7"/>
    <w:rsid w:val="003F2878"/>
    <w:rsid w:val="003F29CC"/>
    <w:rsid w:val="003F29DD"/>
    <w:rsid w:val="003F2F48"/>
    <w:rsid w:val="003F3219"/>
    <w:rsid w:val="003F36A6"/>
    <w:rsid w:val="003F377B"/>
    <w:rsid w:val="003F39DF"/>
    <w:rsid w:val="003F4458"/>
    <w:rsid w:val="003F4524"/>
    <w:rsid w:val="003F473A"/>
    <w:rsid w:val="003F4E21"/>
    <w:rsid w:val="003F5493"/>
    <w:rsid w:val="003F56C9"/>
    <w:rsid w:val="003F5BBF"/>
    <w:rsid w:val="003F61F8"/>
    <w:rsid w:val="003F6934"/>
    <w:rsid w:val="003F69A7"/>
    <w:rsid w:val="003F6A0B"/>
    <w:rsid w:val="003F6AEA"/>
    <w:rsid w:val="003F6CBB"/>
    <w:rsid w:val="003F6F8E"/>
    <w:rsid w:val="003F7109"/>
    <w:rsid w:val="003F7448"/>
    <w:rsid w:val="003F76FD"/>
    <w:rsid w:val="003F7B3A"/>
    <w:rsid w:val="003F7E8D"/>
    <w:rsid w:val="0040064A"/>
    <w:rsid w:val="0040080F"/>
    <w:rsid w:val="004009C3"/>
    <w:rsid w:val="00400CB1"/>
    <w:rsid w:val="00400FC6"/>
    <w:rsid w:val="004010FD"/>
    <w:rsid w:val="00402729"/>
    <w:rsid w:val="00402D7C"/>
    <w:rsid w:val="00403D0F"/>
    <w:rsid w:val="00404EFF"/>
    <w:rsid w:val="004053AF"/>
    <w:rsid w:val="00405E9A"/>
    <w:rsid w:val="004060CA"/>
    <w:rsid w:val="004065D7"/>
    <w:rsid w:val="004067E6"/>
    <w:rsid w:val="004069E8"/>
    <w:rsid w:val="00406DC9"/>
    <w:rsid w:val="00407252"/>
    <w:rsid w:val="00407924"/>
    <w:rsid w:val="00410061"/>
    <w:rsid w:val="00410811"/>
    <w:rsid w:val="004108BD"/>
    <w:rsid w:val="00411047"/>
    <w:rsid w:val="00411074"/>
    <w:rsid w:val="00411986"/>
    <w:rsid w:val="00411D8C"/>
    <w:rsid w:val="00411DFE"/>
    <w:rsid w:val="004120DD"/>
    <w:rsid w:val="0041229D"/>
    <w:rsid w:val="004127F2"/>
    <w:rsid w:val="00412810"/>
    <w:rsid w:val="0041288F"/>
    <w:rsid w:val="004130F9"/>
    <w:rsid w:val="0041397E"/>
    <w:rsid w:val="00413CDA"/>
    <w:rsid w:val="00414699"/>
    <w:rsid w:val="00414890"/>
    <w:rsid w:val="00414CCB"/>
    <w:rsid w:val="0041510F"/>
    <w:rsid w:val="0041517A"/>
    <w:rsid w:val="00415216"/>
    <w:rsid w:val="004153CE"/>
    <w:rsid w:val="004155D1"/>
    <w:rsid w:val="00415C37"/>
    <w:rsid w:val="00415C6A"/>
    <w:rsid w:val="00416759"/>
    <w:rsid w:val="00416889"/>
    <w:rsid w:val="004169B7"/>
    <w:rsid w:val="00416A5E"/>
    <w:rsid w:val="0041757D"/>
    <w:rsid w:val="004175CF"/>
    <w:rsid w:val="0041768F"/>
    <w:rsid w:val="004176F6"/>
    <w:rsid w:val="004177F7"/>
    <w:rsid w:val="00417A6D"/>
    <w:rsid w:val="00417E66"/>
    <w:rsid w:val="00420077"/>
    <w:rsid w:val="004201C5"/>
    <w:rsid w:val="0042051C"/>
    <w:rsid w:val="00420770"/>
    <w:rsid w:val="00420938"/>
    <w:rsid w:val="00420D9D"/>
    <w:rsid w:val="00420F00"/>
    <w:rsid w:val="004211CA"/>
    <w:rsid w:val="004212EC"/>
    <w:rsid w:val="0042183C"/>
    <w:rsid w:val="00421931"/>
    <w:rsid w:val="00421DE6"/>
    <w:rsid w:val="00421EBD"/>
    <w:rsid w:val="004222F2"/>
    <w:rsid w:val="0042247A"/>
    <w:rsid w:val="00422D24"/>
    <w:rsid w:val="00422DE7"/>
    <w:rsid w:val="00422F0D"/>
    <w:rsid w:val="0042371E"/>
    <w:rsid w:val="00423898"/>
    <w:rsid w:val="004238A1"/>
    <w:rsid w:val="00423BF2"/>
    <w:rsid w:val="00423E66"/>
    <w:rsid w:val="00423EC2"/>
    <w:rsid w:val="00423F1F"/>
    <w:rsid w:val="00424764"/>
    <w:rsid w:val="004248CD"/>
    <w:rsid w:val="00424CDE"/>
    <w:rsid w:val="00424DB7"/>
    <w:rsid w:val="0042533C"/>
    <w:rsid w:val="00425473"/>
    <w:rsid w:val="0042583E"/>
    <w:rsid w:val="0042592A"/>
    <w:rsid w:val="00425A9F"/>
    <w:rsid w:val="00425BBC"/>
    <w:rsid w:val="00425D9F"/>
    <w:rsid w:val="00425FAC"/>
    <w:rsid w:val="0042605E"/>
    <w:rsid w:val="004266F5"/>
    <w:rsid w:val="004267E0"/>
    <w:rsid w:val="004267FC"/>
    <w:rsid w:val="00426B7B"/>
    <w:rsid w:val="00426D78"/>
    <w:rsid w:val="00426FBC"/>
    <w:rsid w:val="00427528"/>
    <w:rsid w:val="00427580"/>
    <w:rsid w:val="004276A2"/>
    <w:rsid w:val="004276B6"/>
    <w:rsid w:val="00427C3E"/>
    <w:rsid w:val="00427F34"/>
    <w:rsid w:val="0043006D"/>
    <w:rsid w:val="00430243"/>
    <w:rsid w:val="00430BAD"/>
    <w:rsid w:val="00430C1A"/>
    <w:rsid w:val="00430C3F"/>
    <w:rsid w:val="00431122"/>
    <w:rsid w:val="004312E9"/>
    <w:rsid w:val="00431494"/>
    <w:rsid w:val="00431579"/>
    <w:rsid w:val="00431699"/>
    <w:rsid w:val="00431913"/>
    <w:rsid w:val="00432F9E"/>
    <w:rsid w:val="00432FED"/>
    <w:rsid w:val="004332BD"/>
    <w:rsid w:val="004333DF"/>
    <w:rsid w:val="004338FF"/>
    <w:rsid w:val="00433AB1"/>
    <w:rsid w:val="0043411E"/>
    <w:rsid w:val="00434372"/>
    <w:rsid w:val="004345FD"/>
    <w:rsid w:val="00434D78"/>
    <w:rsid w:val="00435AB8"/>
    <w:rsid w:val="00435D91"/>
    <w:rsid w:val="00435E3E"/>
    <w:rsid w:val="00435F0D"/>
    <w:rsid w:val="0043607D"/>
    <w:rsid w:val="00436181"/>
    <w:rsid w:val="0043673E"/>
    <w:rsid w:val="004369B1"/>
    <w:rsid w:val="00436B27"/>
    <w:rsid w:val="00436D33"/>
    <w:rsid w:val="00436EC3"/>
    <w:rsid w:val="00437523"/>
    <w:rsid w:val="00437A5C"/>
    <w:rsid w:val="00437DA6"/>
    <w:rsid w:val="00437EF9"/>
    <w:rsid w:val="00440DF6"/>
    <w:rsid w:val="004412E7"/>
    <w:rsid w:val="0044188D"/>
    <w:rsid w:val="00441D9A"/>
    <w:rsid w:val="00441F42"/>
    <w:rsid w:val="00442598"/>
    <w:rsid w:val="00442FE3"/>
    <w:rsid w:val="004434A8"/>
    <w:rsid w:val="004436A6"/>
    <w:rsid w:val="00443983"/>
    <w:rsid w:val="00443AED"/>
    <w:rsid w:val="00443D1C"/>
    <w:rsid w:val="00443D2A"/>
    <w:rsid w:val="00444388"/>
    <w:rsid w:val="004444CA"/>
    <w:rsid w:val="00444C9D"/>
    <w:rsid w:val="00444D79"/>
    <w:rsid w:val="00444E49"/>
    <w:rsid w:val="00444F9D"/>
    <w:rsid w:val="004452B4"/>
    <w:rsid w:val="004453D8"/>
    <w:rsid w:val="004455F6"/>
    <w:rsid w:val="00445CA5"/>
    <w:rsid w:val="00445EBC"/>
    <w:rsid w:val="00445FB9"/>
    <w:rsid w:val="004467A4"/>
    <w:rsid w:val="004467FB"/>
    <w:rsid w:val="00446E4C"/>
    <w:rsid w:val="0045037E"/>
    <w:rsid w:val="00450469"/>
    <w:rsid w:val="00450AC6"/>
    <w:rsid w:val="00450B65"/>
    <w:rsid w:val="00450CCB"/>
    <w:rsid w:val="00450D4E"/>
    <w:rsid w:val="00450E37"/>
    <w:rsid w:val="0045142F"/>
    <w:rsid w:val="004517EB"/>
    <w:rsid w:val="00451900"/>
    <w:rsid w:val="00451AF5"/>
    <w:rsid w:val="00451C68"/>
    <w:rsid w:val="00451D47"/>
    <w:rsid w:val="00451D74"/>
    <w:rsid w:val="00452116"/>
    <w:rsid w:val="00452403"/>
    <w:rsid w:val="004527AE"/>
    <w:rsid w:val="00452C1E"/>
    <w:rsid w:val="004532AF"/>
    <w:rsid w:val="0045431C"/>
    <w:rsid w:val="00454885"/>
    <w:rsid w:val="00455038"/>
    <w:rsid w:val="004550B7"/>
    <w:rsid w:val="004552CA"/>
    <w:rsid w:val="00455463"/>
    <w:rsid w:val="004557D3"/>
    <w:rsid w:val="004557E5"/>
    <w:rsid w:val="004559EB"/>
    <w:rsid w:val="00456006"/>
    <w:rsid w:val="00456195"/>
    <w:rsid w:val="0045671D"/>
    <w:rsid w:val="00456933"/>
    <w:rsid w:val="0045699B"/>
    <w:rsid w:val="00456A6F"/>
    <w:rsid w:val="004574A3"/>
    <w:rsid w:val="0045759B"/>
    <w:rsid w:val="00457D9B"/>
    <w:rsid w:val="0046058A"/>
    <w:rsid w:val="00460E93"/>
    <w:rsid w:val="00460F21"/>
    <w:rsid w:val="00461245"/>
    <w:rsid w:val="004615BE"/>
    <w:rsid w:val="00461A44"/>
    <w:rsid w:val="00461CD8"/>
    <w:rsid w:val="00461EC5"/>
    <w:rsid w:val="00461FC2"/>
    <w:rsid w:val="00461FE5"/>
    <w:rsid w:val="0046201C"/>
    <w:rsid w:val="0046294C"/>
    <w:rsid w:val="00463912"/>
    <w:rsid w:val="0046399E"/>
    <w:rsid w:val="004639D4"/>
    <w:rsid w:val="004639DA"/>
    <w:rsid w:val="00463AE2"/>
    <w:rsid w:val="00463B4E"/>
    <w:rsid w:val="00464074"/>
    <w:rsid w:val="00464657"/>
    <w:rsid w:val="0046497B"/>
    <w:rsid w:val="00465433"/>
    <w:rsid w:val="0046587E"/>
    <w:rsid w:val="00465A75"/>
    <w:rsid w:val="00466BD5"/>
    <w:rsid w:val="00466C8F"/>
    <w:rsid w:val="004679A8"/>
    <w:rsid w:val="00467AC7"/>
    <w:rsid w:val="00467BA3"/>
    <w:rsid w:val="004704CE"/>
    <w:rsid w:val="0047064C"/>
    <w:rsid w:val="00470B79"/>
    <w:rsid w:val="00471303"/>
    <w:rsid w:val="00471485"/>
    <w:rsid w:val="00471F32"/>
    <w:rsid w:val="00471F98"/>
    <w:rsid w:val="004723EA"/>
    <w:rsid w:val="00472848"/>
    <w:rsid w:val="004728A7"/>
    <w:rsid w:val="004731ED"/>
    <w:rsid w:val="004735AE"/>
    <w:rsid w:val="00473B70"/>
    <w:rsid w:val="00473E10"/>
    <w:rsid w:val="00473FD7"/>
    <w:rsid w:val="004740E4"/>
    <w:rsid w:val="00474806"/>
    <w:rsid w:val="00474A60"/>
    <w:rsid w:val="00474ABD"/>
    <w:rsid w:val="00474F03"/>
    <w:rsid w:val="00474F86"/>
    <w:rsid w:val="0047503F"/>
    <w:rsid w:val="00475080"/>
    <w:rsid w:val="00475B6F"/>
    <w:rsid w:val="00475FB7"/>
    <w:rsid w:val="0047615C"/>
    <w:rsid w:val="00477660"/>
    <w:rsid w:val="00477C23"/>
    <w:rsid w:val="00480296"/>
    <w:rsid w:val="00480392"/>
    <w:rsid w:val="004809B3"/>
    <w:rsid w:val="004810F0"/>
    <w:rsid w:val="00481271"/>
    <w:rsid w:val="004816B8"/>
    <w:rsid w:val="004816DC"/>
    <w:rsid w:val="00481883"/>
    <w:rsid w:val="00481C64"/>
    <w:rsid w:val="00482451"/>
    <w:rsid w:val="0048296C"/>
    <w:rsid w:val="00482F65"/>
    <w:rsid w:val="00483301"/>
    <w:rsid w:val="00483BE7"/>
    <w:rsid w:val="00483D72"/>
    <w:rsid w:val="00483E55"/>
    <w:rsid w:val="0048401D"/>
    <w:rsid w:val="004845F3"/>
    <w:rsid w:val="00484676"/>
    <w:rsid w:val="004847BC"/>
    <w:rsid w:val="0048495E"/>
    <w:rsid w:val="004849E1"/>
    <w:rsid w:val="00484D35"/>
    <w:rsid w:val="00485325"/>
    <w:rsid w:val="004853AD"/>
    <w:rsid w:val="00485874"/>
    <w:rsid w:val="004858BD"/>
    <w:rsid w:val="004860F8"/>
    <w:rsid w:val="004864B2"/>
    <w:rsid w:val="00486830"/>
    <w:rsid w:val="00487086"/>
    <w:rsid w:val="00487A6F"/>
    <w:rsid w:val="00487DE7"/>
    <w:rsid w:val="0049012C"/>
    <w:rsid w:val="00490D8F"/>
    <w:rsid w:val="0049104C"/>
    <w:rsid w:val="00491321"/>
    <w:rsid w:val="004918CB"/>
    <w:rsid w:val="00492119"/>
    <w:rsid w:val="0049222F"/>
    <w:rsid w:val="004931CB"/>
    <w:rsid w:val="004933B9"/>
    <w:rsid w:val="004940DC"/>
    <w:rsid w:val="0049461D"/>
    <w:rsid w:val="004947A2"/>
    <w:rsid w:val="00494EC6"/>
    <w:rsid w:val="0049519A"/>
    <w:rsid w:val="004952A0"/>
    <w:rsid w:val="004953A7"/>
    <w:rsid w:val="0049635B"/>
    <w:rsid w:val="0049687C"/>
    <w:rsid w:val="00496B53"/>
    <w:rsid w:val="00497091"/>
    <w:rsid w:val="004972BC"/>
    <w:rsid w:val="0049775A"/>
    <w:rsid w:val="004977DF"/>
    <w:rsid w:val="0049791D"/>
    <w:rsid w:val="0049793B"/>
    <w:rsid w:val="00497D18"/>
    <w:rsid w:val="004A0069"/>
    <w:rsid w:val="004A0B39"/>
    <w:rsid w:val="004A0BAB"/>
    <w:rsid w:val="004A0F8F"/>
    <w:rsid w:val="004A14E8"/>
    <w:rsid w:val="004A173C"/>
    <w:rsid w:val="004A1B75"/>
    <w:rsid w:val="004A1DF9"/>
    <w:rsid w:val="004A2A1A"/>
    <w:rsid w:val="004A2ACD"/>
    <w:rsid w:val="004A2F50"/>
    <w:rsid w:val="004A346C"/>
    <w:rsid w:val="004A371D"/>
    <w:rsid w:val="004A38B0"/>
    <w:rsid w:val="004A39E2"/>
    <w:rsid w:val="004A3A45"/>
    <w:rsid w:val="004A3B00"/>
    <w:rsid w:val="004A3E11"/>
    <w:rsid w:val="004A400F"/>
    <w:rsid w:val="004A42DB"/>
    <w:rsid w:val="004A4453"/>
    <w:rsid w:val="004A47D7"/>
    <w:rsid w:val="004A49A8"/>
    <w:rsid w:val="004A49EC"/>
    <w:rsid w:val="004A4E6B"/>
    <w:rsid w:val="004A4E8E"/>
    <w:rsid w:val="004A5A1E"/>
    <w:rsid w:val="004A5B3F"/>
    <w:rsid w:val="004A5DFD"/>
    <w:rsid w:val="004A5EF0"/>
    <w:rsid w:val="004A671C"/>
    <w:rsid w:val="004A6ABA"/>
    <w:rsid w:val="004A6FDE"/>
    <w:rsid w:val="004A78EA"/>
    <w:rsid w:val="004A7F2E"/>
    <w:rsid w:val="004B0439"/>
    <w:rsid w:val="004B084C"/>
    <w:rsid w:val="004B0F02"/>
    <w:rsid w:val="004B1E14"/>
    <w:rsid w:val="004B23EE"/>
    <w:rsid w:val="004B2BCA"/>
    <w:rsid w:val="004B2F06"/>
    <w:rsid w:val="004B306B"/>
    <w:rsid w:val="004B337F"/>
    <w:rsid w:val="004B3524"/>
    <w:rsid w:val="004B37A8"/>
    <w:rsid w:val="004B3945"/>
    <w:rsid w:val="004B3C35"/>
    <w:rsid w:val="004B3E48"/>
    <w:rsid w:val="004B3FD7"/>
    <w:rsid w:val="004B4185"/>
    <w:rsid w:val="004B45E0"/>
    <w:rsid w:val="004B4620"/>
    <w:rsid w:val="004B4854"/>
    <w:rsid w:val="004B493B"/>
    <w:rsid w:val="004B4B1B"/>
    <w:rsid w:val="004B4CD9"/>
    <w:rsid w:val="004B5074"/>
    <w:rsid w:val="004B54E6"/>
    <w:rsid w:val="004B5A45"/>
    <w:rsid w:val="004B5DA7"/>
    <w:rsid w:val="004B6657"/>
    <w:rsid w:val="004B67D1"/>
    <w:rsid w:val="004B6ADF"/>
    <w:rsid w:val="004B6D0E"/>
    <w:rsid w:val="004B7013"/>
    <w:rsid w:val="004B7741"/>
    <w:rsid w:val="004B7917"/>
    <w:rsid w:val="004B7A56"/>
    <w:rsid w:val="004B7AA5"/>
    <w:rsid w:val="004B7EE5"/>
    <w:rsid w:val="004C00C1"/>
    <w:rsid w:val="004C0DAB"/>
    <w:rsid w:val="004C117C"/>
    <w:rsid w:val="004C1867"/>
    <w:rsid w:val="004C1885"/>
    <w:rsid w:val="004C1D9E"/>
    <w:rsid w:val="004C20A6"/>
    <w:rsid w:val="004C3706"/>
    <w:rsid w:val="004C389B"/>
    <w:rsid w:val="004C44C8"/>
    <w:rsid w:val="004C44FE"/>
    <w:rsid w:val="004C461C"/>
    <w:rsid w:val="004C4C99"/>
    <w:rsid w:val="004C4E91"/>
    <w:rsid w:val="004C4F41"/>
    <w:rsid w:val="004C59A6"/>
    <w:rsid w:val="004C5FE7"/>
    <w:rsid w:val="004C61FF"/>
    <w:rsid w:val="004C68F3"/>
    <w:rsid w:val="004C69D4"/>
    <w:rsid w:val="004C6D03"/>
    <w:rsid w:val="004C6F0E"/>
    <w:rsid w:val="004C6FE8"/>
    <w:rsid w:val="004C7AAF"/>
    <w:rsid w:val="004D0358"/>
    <w:rsid w:val="004D0BA2"/>
    <w:rsid w:val="004D0CD3"/>
    <w:rsid w:val="004D140B"/>
    <w:rsid w:val="004D1B19"/>
    <w:rsid w:val="004D1DBB"/>
    <w:rsid w:val="004D1E78"/>
    <w:rsid w:val="004D2EE6"/>
    <w:rsid w:val="004D3181"/>
    <w:rsid w:val="004D3273"/>
    <w:rsid w:val="004D35D9"/>
    <w:rsid w:val="004D3986"/>
    <w:rsid w:val="004D3CCA"/>
    <w:rsid w:val="004D4094"/>
    <w:rsid w:val="004D425B"/>
    <w:rsid w:val="004D47AF"/>
    <w:rsid w:val="004D49E9"/>
    <w:rsid w:val="004D4AD7"/>
    <w:rsid w:val="004D4C79"/>
    <w:rsid w:val="004D4D0D"/>
    <w:rsid w:val="004D5C0E"/>
    <w:rsid w:val="004D5C16"/>
    <w:rsid w:val="004D5C2E"/>
    <w:rsid w:val="004D5F5B"/>
    <w:rsid w:val="004D5FB6"/>
    <w:rsid w:val="004D63BF"/>
    <w:rsid w:val="004D718E"/>
    <w:rsid w:val="004D71E0"/>
    <w:rsid w:val="004D725D"/>
    <w:rsid w:val="004D778A"/>
    <w:rsid w:val="004E0590"/>
    <w:rsid w:val="004E0C83"/>
    <w:rsid w:val="004E0E97"/>
    <w:rsid w:val="004E1783"/>
    <w:rsid w:val="004E186A"/>
    <w:rsid w:val="004E1CD2"/>
    <w:rsid w:val="004E21BD"/>
    <w:rsid w:val="004E220B"/>
    <w:rsid w:val="004E2ECE"/>
    <w:rsid w:val="004E3423"/>
    <w:rsid w:val="004E3D16"/>
    <w:rsid w:val="004E3F9C"/>
    <w:rsid w:val="004E3FCE"/>
    <w:rsid w:val="004E4B66"/>
    <w:rsid w:val="004E4ED6"/>
    <w:rsid w:val="004E55BD"/>
    <w:rsid w:val="004E5621"/>
    <w:rsid w:val="004E587B"/>
    <w:rsid w:val="004E6070"/>
    <w:rsid w:val="004E6151"/>
    <w:rsid w:val="004E6161"/>
    <w:rsid w:val="004E61E6"/>
    <w:rsid w:val="004E641B"/>
    <w:rsid w:val="004E66A7"/>
    <w:rsid w:val="004E66AD"/>
    <w:rsid w:val="004E6A71"/>
    <w:rsid w:val="004E6C02"/>
    <w:rsid w:val="004E6E61"/>
    <w:rsid w:val="004E7151"/>
    <w:rsid w:val="004F0060"/>
    <w:rsid w:val="004F0102"/>
    <w:rsid w:val="004F0843"/>
    <w:rsid w:val="004F0FB7"/>
    <w:rsid w:val="004F164E"/>
    <w:rsid w:val="004F2112"/>
    <w:rsid w:val="004F22EB"/>
    <w:rsid w:val="004F28CE"/>
    <w:rsid w:val="004F28DF"/>
    <w:rsid w:val="004F2CED"/>
    <w:rsid w:val="004F2E26"/>
    <w:rsid w:val="004F30CA"/>
    <w:rsid w:val="004F3719"/>
    <w:rsid w:val="004F3B56"/>
    <w:rsid w:val="004F3D44"/>
    <w:rsid w:val="004F3DD1"/>
    <w:rsid w:val="004F4975"/>
    <w:rsid w:val="004F4995"/>
    <w:rsid w:val="004F4B18"/>
    <w:rsid w:val="004F4CF1"/>
    <w:rsid w:val="004F4F4E"/>
    <w:rsid w:val="004F4FD2"/>
    <w:rsid w:val="004F53FF"/>
    <w:rsid w:val="004F56AD"/>
    <w:rsid w:val="004F5D43"/>
    <w:rsid w:val="004F6134"/>
    <w:rsid w:val="004F6176"/>
    <w:rsid w:val="004F753E"/>
    <w:rsid w:val="004F75A2"/>
    <w:rsid w:val="004F795F"/>
    <w:rsid w:val="004F7AEF"/>
    <w:rsid w:val="004F7CAB"/>
    <w:rsid w:val="004F7CD6"/>
    <w:rsid w:val="004F7E52"/>
    <w:rsid w:val="00500572"/>
    <w:rsid w:val="005009DA"/>
    <w:rsid w:val="00500A15"/>
    <w:rsid w:val="00500C2F"/>
    <w:rsid w:val="00500D9C"/>
    <w:rsid w:val="00501487"/>
    <w:rsid w:val="005017AE"/>
    <w:rsid w:val="005017B7"/>
    <w:rsid w:val="005020C8"/>
    <w:rsid w:val="00502259"/>
    <w:rsid w:val="005022EA"/>
    <w:rsid w:val="0050235E"/>
    <w:rsid w:val="0050266B"/>
    <w:rsid w:val="005028B9"/>
    <w:rsid w:val="00502C9F"/>
    <w:rsid w:val="00502DD3"/>
    <w:rsid w:val="00502DE1"/>
    <w:rsid w:val="00502E63"/>
    <w:rsid w:val="00503339"/>
    <w:rsid w:val="0050351B"/>
    <w:rsid w:val="00503757"/>
    <w:rsid w:val="005038FC"/>
    <w:rsid w:val="00504018"/>
    <w:rsid w:val="005049D3"/>
    <w:rsid w:val="00504C5E"/>
    <w:rsid w:val="00505362"/>
    <w:rsid w:val="00505EC1"/>
    <w:rsid w:val="00506069"/>
    <w:rsid w:val="005065A9"/>
    <w:rsid w:val="00506893"/>
    <w:rsid w:val="00506C23"/>
    <w:rsid w:val="00506C9A"/>
    <w:rsid w:val="00507141"/>
    <w:rsid w:val="0050737D"/>
    <w:rsid w:val="005074B0"/>
    <w:rsid w:val="00507F5D"/>
    <w:rsid w:val="0051004F"/>
    <w:rsid w:val="005101D0"/>
    <w:rsid w:val="005109D7"/>
    <w:rsid w:val="00510E54"/>
    <w:rsid w:val="0051130A"/>
    <w:rsid w:val="0051195E"/>
    <w:rsid w:val="00511F56"/>
    <w:rsid w:val="005120C9"/>
    <w:rsid w:val="00512637"/>
    <w:rsid w:val="00512A76"/>
    <w:rsid w:val="005134CA"/>
    <w:rsid w:val="00513A4A"/>
    <w:rsid w:val="0051613B"/>
    <w:rsid w:val="00516271"/>
    <w:rsid w:val="0051639C"/>
    <w:rsid w:val="00516536"/>
    <w:rsid w:val="0051659F"/>
    <w:rsid w:val="00516C48"/>
    <w:rsid w:val="00516D78"/>
    <w:rsid w:val="00517088"/>
    <w:rsid w:val="0051742E"/>
    <w:rsid w:val="005177D5"/>
    <w:rsid w:val="00517939"/>
    <w:rsid w:val="005179C5"/>
    <w:rsid w:val="00517A5D"/>
    <w:rsid w:val="00517B41"/>
    <w:rsid w:val="00517C0B"/>
    <w:rsid w:val="00517D9A"/>
    <w:rsid w:val="00517FB9"/>
    <w:rsid w:val="005201B8"/>
    <w:rsid w:val="005206FC"/>
    <w:rsid w:val="0052094A"/>
    <w:rsid w:val="005209D6"/>
    <w:rsid w:val="00521017"/>
    <w:rsid w:val="005211A4"/>
    <w:rsid w:val="005212FC"/>
    <w:rsid w:val="00521886"/>
    <w:rsid w:val="00521A69"/>
    <w:rsid w:val="00521DB0"/>
    <w:rsid w:val="00521DEE"/>
    <w:rsid w:val="0052216B"/>
    <w:rsid w:val="005221F2"/>
    <w:rsid w:val="00522D00"/>
    <w:rsid w:val="00522FA0"/>
    <w:rsid w:val="00522FB9"/>
    <w:rsid w:val="00523558"/>
    <w:rsid w:val="0052393C"/>
    <w:rsid w:val="00523BEA"/>
    <w:rsid w:val="005240F1"/>
    <w:rsid w:val="005240FA"/>
    <w:rsid w:val="005242F9"/>
    <w:rsid w:val="005243E5"/>
    <w:rsid w:val="005245B9"/>
    <w:rsid w:val="00524AF9"/>
    <w:rsid w:val="00524B9D"/>
    <w:rsid w:val="005258F8"/>
    <w:rsid w:val="005259BA"/>
    <w:rsid w:val="00525BC6"/>
    <w:rsid w:val="00525E30"/>
    <w:rsid w:val="00525FEA"/>
    <w:rsid w:val="00525FFD"/>
    <w:rsid w:val="0052646A"/>
    <w:rsid w:val="005265D2"/>
    <w:rsid w:val="00526AA1"/>
    <w:rsid w:val="0052715A"/>
    <w:rsid w:val="005301C7"/>
    <w:rsid w:val="00530321"/>
    <w:rsid w:val="00530829"/>
    <w:rsid w:val="00530C8B"/>
    <w:rsid w:val="00530CBD"/>
    <w:rsid w:val="005311F9"/>
    <w:rsid w:val="0053142A"/>
    <w:rsid w:val="005314B7"/>
    <w:rsid w:val="0053187A"/>
    <w:rsid w:val="005319B7"/>
    <w:rsid w:val="00531B02"/>
    <w:rsid w:val="00531DCB"/>
    <w:rsid w:val="0053202B"/>
    <w:rsid w:val="0053224B"/>
    <w:rsid w:val="005322F0"/>
    <w:rsid w:val="005323AB"/>
    <w:rsid w:val="00532513"/>
    <w:rsid w:val="005328E5"/>
    <w:rsid w:val="00532D14"/>
    <w:rsid w:val="00532F91"/>
    <w:rsid w:val="00533397"/>
    <w:rsid w:val="0053395F"/>
    <w:rsid w:val="00534238"/>
    <w:rsid w:val="0053438A"/>
    <w:rsid w:val="0053479B"/>
    <w:rsid w:val="00534BDB"/>
    <w:rsid w:val="00534E78"/>
    <w:rsid w:val="00535354"/>
    <w:rsid w:val="00535927"/>
    <w:rsid w:val="005359E4"/>
    <w:rsid w:val="00536BF6"/>
    <w:rsid w:val="00536E41"/>
    <w:rsid w:val="0053748F"/>
    <w:rsid w:val="005374B5"/>
    <w:rsid w:val="005374D6"/>
    <w:rsid w:val="00537552"/>
    <w:rsid w:val="00537673"/>
    <w:rsid w:val="00537783"/>
    <w:rsid w:val="00537B48"/>
    <w:rsid w:val="00540129"/>
    <w:rsid w:val="0054043B"/>
    <w:rsid w:val="00540C56"/>
    <w:rsid w:val="0054148C"/>
    <w:rsid w:val="00541B8D"/>
    <w:rsid w:val="00542744"/>
    <w:rsid w:val="00542807"/>
    <w:rsid w:val="00542CED"/>
    <w:rsid w:val="00542D6B"/>
    <w:rsid w:val="00542D83"/>
    <w:rsid w:val="00542FAB"/>
    <w:rsid w:val="00543202"/>
    <w:rsid w:val="00543593"/>
    <w:rsid w:val="00543A7C"/>
    <w:rsid w:val="00543CA8"/>
    <w:rsid w:val="00543E8A"/>
    <w:rsid w:val="00543F1F"/>
    <w:rsid w:val="00544C96"/>
    <w:rsid w:val="0054566A"/>
    <w:rsid w:val="005457C2"/>
    <w:rsid w:val="0054595C"/>
    <w:rsid w:val="00545F26"/>
    <w:rsid w:val="00546705"/>
    <w:rsid w:val="005467C2"/>
    <w:rsid w:val="00546B17"/>
    <w:rsid w:val="00546D70"/>
    <w:rsid w:val="00546FCD"/>
    <w:rsid w:val="005470B0"/>
    <w:rsid w:val="00547289"/>
    <w:rsid w:val="00547648"/>
    <w:rsid w:val="005501D8"/>
    <w:rsid w:val="00550E59"/>
    <w:rsid w:val="0055111D"/>
    <w:rsid w:val="005514B1"/>
    <w:rsid w:val="00551554"/>
    <w:rsid w:val="00551718"/>
    <w:rsid w:val="00551B59"/>
    <w:rsid w:val="00551C4C"/>
    <w:rsid w:val="00551DAD"/>
    <w:rsid w:val="00552177"/>
    <w:rsid w:val="0055308B"/>
    <w:rsid w:val="005530D4"/>
    <w:rsid w:val="005535C9"/>
    <w:rsid w:val="0055383A"/>
    <w:rsid w:val="0055388A"/>
    <w:rsid w:val="00553E99"/>
    <w:rsid w:val="0055478D"/>
    <w:rsid w:val="005549B4"/>
    <w:rsid w:val="00555141"/>
    <w:rsid w:val="0055519D"/>
    <w:rsid w:val="005556A3"/>
    <w:rsid w:val="005558A9"/>
    <w:rsid w:val="00555C3B"/>
    <w:rsid w:val="00555D32"/>
    <w:rsid w:val="00556764"/>
    <w:rsid w:val="00556EA9"/>
    <w:rsid w:val="00557346"/>
    <w:rsid w:val="005574B0"/>
    <w:rsid w:val="005577A9"/>
    <w:rsid w:val="00557B92"/>
    <w:rsid w:val="00557E93"/>
    <w:rsid w:val="0056008B"/>
    <w:rsid w:val="00560354"/>
    <w:rsid w:val="00560779"/>
    <w:rsid w:val="00560953"/>
    <w:rsid w:val="005609F0"/>
    <w:rsid w:val="00560A62"/>
    <w:rsid w:val="00560C4F"/>
    <w:rsid w:val="0056104B"/>
    <w:rsid w:val="005611BD"/>
    <w:rsid w:val="00561ADB"/>
    <w:rsid w:val="00561CD3"/>
    <w:rsid w:val="00562023"/>
    <w:rsid w:val="005623F9"/>
    <w:rsid w:val="005625B7"/>
    <w:rsid w:val="00562A97"/>
    <w:rsid w:val="00562C0A"/>
    <w:rsid w:val="00562D0E"/>
    <w:rsid w:val="00563430"/>
    <w:rsid w:val="00563A39"/>
    <w:rsid w:val="00564152"/>
    <w:rsid w:val="00564D09"/>
    <w:rsid w:val="00565329"/>
    <w:rsid w:val="0056570D"/>
    <w:rsid w:val="00565A47"/>
    <w:rsid w:val="00565C3C"/>
    <w:rsid w:val="00565C50"/>
    <w:rsid w:val="00565E28"/>
    <w:rsid w:val="00565F6E"/>
    <w:rsid w:val="00566085"/>
    <w:rsid w:val="005661D5"/>
    <w:rsid w:val="00566527"/>
    <w:rsid w:val="0056658D"/>
    <w:rsid w:val="00567104"/>
    <w:rsid w:val="005674BE"/>
    <w:rsid w:val="005677A7"/>
    <w:rsid w:val="0056785C"/>
    <w:rsid w:val="00567B96"/>
    <w:rsid w:val="00567C8C"/>
    <w:rsid w:val="00567DC4"/>
    <w:rsid w:val="00570048"/>
    <w:rsid w:val="00570E33"/>
    <w:rsid w:val="00571311"/>
    <w:rsid w:val="005714DA"/>
    <w:rsid w:val="00571C31"/>
    <w:rsid w:val="00571CCF"/>
    <w:rsid w:val="00572236"/>
    <w:rsid w:val="00572544"/>
    <w:rsid w:val="00572625"/>
    <w:rsid w:val="005727FA"/>
    <w:rsid w:val="00572FA4"/>
    <w:rsid w:val="0057323A"/>
    <w:rsid w:val="005736BF"/>
    <w:rsid w:val="005737AE"/>
    <w:rsid w:val="00574C02"/>
    <w:rsid w:val="00574C68"/>
    <w:rsid w:val="00574E54"/>
    <w:rsid w:val="005751BD"/>
    <w:rsid w:val="005753A9"/>
    <w:rsid w:val="00575702"/>
    <w:rsid w:val="00575850"/>
    <w:rsid w:val="00575B54"/>
    <w:rsid w:val="00575CB8"/>
    <w:rsid w:val="005761FC"/>
    <w:rsid w:val="0057683A"/>
    <w:rsid w:val="00576A32"/>
    <w:rsid w:val="00576ED1"/>
    <w:rsid w:val="005778B8"/>
    <w:rsid w:val="00577CEA"/>
    <w:rsid w:val="00577E36"/>
    <w:rsid w:val="00577E3E"/>
    <w:rsid w:val="00580102"/>
    <w:rsid w:val="0058020C"/>
    <w:rsid w:val="00580BD7"/>
    <w:rsid w:val="00580C59"/>
    <w:rsid w:val="00581187"/>
    <w:rsid w:val="0058126B"/>
    <w:rsid w:val="005814E8"/>
    <w:rsid w:val="0058167F"/>
    <w:rsid w:val="00581840"/>
    <w:rsid w:val="0058240A"/>
    <w:rsid w:val="005828D0"/>
    <w:rsid w:val="005830DC"/>
    <w:rsid w:val="005833B8"/>
    <w:rsid w:val="0058351D"/>
    <w:rsid w:val="00583821"/>
    <w:rsid w:val="00583834"/>
    <w:rsid w:val="005838CA"/>
    <w:rsid w:val="00583E54"/>
    <w:rsid w:val="0058406F"/>
    <w:rsid w:val="005842B1"/>
    <w:rsid w:val="0058450B"/>
    <w:rsid w:val="005845A6"/>
    <w:rsid w:val="00584C3A"/>
    <w:rsid w:val="00584D82"/>
    <w:rsid w:val="00585535"/>
    <w:rsid w:val="00585AEF"/>
    <w:rsid w:val="0058680B"/>
    <w:rsid w:val="00586E2E"/>
    <w:rsid w:val="00587511"/>
    <w:rsid w:val="00587F0E"/>
    <w:rsid w:val="005905DE"/>
    <w:rsid w:val="00590F3D"/>
    <w:rsid w:val="00590F5F"/>
    <w:rsid w:val="00591261"/>
    <w:rsid w:val="00592290"/>
    <w:rsid w:val="0059234A"/>
    <w:rsid w:val="0059268B"/>
    <w:rsid w:val="005926BB"/>
    <w:rsid w:val="00592946"/>
    <w:rsid w:val="00592CEE"/>
    <w:rsid w:val="00593A36"/>
    <w:rsid w:val="00593B72"/>
    <w:rsid w:val="00593F55"/>
    <w:rsid w:val="00594065"/>
    <w:rsid w:val="0059409F"/>
    <w:rsid w:val="00594279"/>
    <w:rsid w:val="0059437E"/>
    <w:rsid w:val="00594C35"/>
    <w:rsid w:val="00594D99"/>
    <w:rsid w:val="00594F8A"/>
    <w:rsid w:val="00595812"/>
    <w:rsid w:val="00596F6F"/>
    <w:rsid w:val="00596FA6"/>
    <w:rsid w:val="00597099"/>
    <w:rsid w:val="005971DC"/>
    <w:rsid w:val="0059739B"/>
    <w:rsid w:val="00597CFB"/>
    <w:rsid w:val="005A0054"/>
    <w:rsid w:val="005A01C9"/>
    <w:rsid w:val="005A01F9"/>
    <w:rsid w:val="005A0AB8"/>
    <w:rsid w:val="005A0D40"/>
    <w:rsid w:val="005A0FB5"/>
    <w:rsid w:val="005A11EE"/>
    <w:rsid w:val="005A192D"/>
    <w:rsid w:val="005A19E2"/>
    <w:rsid w:val="005A1D03"/>
    <w:rsid w:val="005A2149"/>
    <w:rsid w:val="005A22B6"/>
    <w:rsid w:val="005A2472"/>
    <w:rsid w:val="005A2F91"/>
    <w:rsid w:val="005A32C0"/>
    <w:rsid w:val="005A372D"/>
    <w:rsid w:val="005A3A53"/>
    <w:rsid w:val="005A52BF"/>
    <w:rsid w:val="005A5CE4"/>
    <w:rsid w:val="005A61C2"/>
    <w:rsid w:val="005A64CB"/>
    <w:rsid w:val="005A67F1"/>
    <w:rsid w:val="005A6C1F"/>
    <w:rsid w:val="005A6C31"/>
    <w:rsid w:val="005A72EA"/>
    <w:rsid w:val="005A7B42"/>
    <w:rsid w:val="005B0F29"/>
    <w:rsid w:val="005B125E"/>
    <w:rsid w:val="005B164B"/>
    <w:rsid w:val="005B1865"/>
    <w:rsid w:val="005B1B31"/>
    <w:rsid w:val="005B222D"/>
    <w:rsid w:val="005B2421"/>
    <w:rsid w:val="005B24A9"/>
    <w:rsid w:val="005B2711"/>
    <w:rsid w:val="005B2BA4"/>
    <w:rsid w:val="005B3318"/>
    <w:rsid w:val="005B33E6"/>
    <w:rsid w:val="005B3A67"/>
    <w:rsid w:val="005B3D26"/>
    <w:rsid w:val="005B44B5"/>
    <w:rsid w:val="005B4B60"/>
    <w:rsid w:val="005B4D09"/>
    <w:rsid w:val="005B4E49"/>
    <w:rsid w:val="005B63FC"/>
    <w:rsid w:val="005B7271"/>
    <w:rsid w:val="005B72FF"/>
    <w:rsid w:val="005B760C"/>
    <w:rsid w:val="005B770B"/>
    <w:rsid w:val="005C009C"/>
    <w:rsid w:val="005C012E"/>
    <w:rsid w:val="005C02C5"/>
    <w:rsid w:val="005C03F9"/>
    <w:rsid w:val="005C04A6"/>
    <w:rsid w:val="005C0585"/>
    <w:rsid w:val="005C06B7"/>
    <w:rsid w:val="005C0DFD"/>
    <w:rsid w:val="005C0F03"/>
    <w:rsid w:val="005C1B73"/>
    <w:rsid w:val="005C1D24"/>
    <w:rsid w:val="005C1E2F"/>
    <w:rsid w:val="005C223E"/>
    <w:rsid w:val="005C348B"/>
    <w:rsid w:val="005C356B"/>
    <w:rsid w:val="005C3762"/>
    <w:rsid w:val="005C3A61"/>
    <w:rsid w:val="005C3FFB"/>
    <w:rsid w:val="005C520F"/>
    <w:rsid w:val="005C56B8"/>
    <w:rsid w:val="005C5B7C"/>
    <w:rsid w:val="005C6A80"/>
    <w:rsid w:val="005C6F90"/>
    <w:rsid w:val="005C7442"/>
    <w:rsid w:val="005C76B2"/>
    <w:rsid w:val="005C7813"/>
    <w:rsid w:val="005C79FB"/>
    <w:rsid w:val="005C7F2C"/>
    <w:rsid w:val="005D0647"/>
    <w:rsid w:val="005D083B"/>
    <w:rsid w:val="005D1163"/>
    <w:rsid w:val="005D1753"/>
    <w:rsid w:val="005D1F10"/>
    <w:rsid w:val="005D1F63"/>
    <w:rsid w:val="005D20A2"/>
    <w:rsid w:val="005D2323"/>
    <w:rsid w:val="005D2488"/>
    <w:rsid w:val="005D2589"/>
    <w:rsid w:val="005D2DE6"/>
    <w:rsid w:val="005D3061"/>
    <w:rsid w:val="005D325F"/>
    <w:rsid w:val="005D37B6"/>
    <w:rsid w:val="005D3984"/>
    <w:rsid w:val="005D3D49"/>
    <w:rsid w:val="005D3D69"/>
    <w:rsid w:val="005D403D"/>
    <w:rsid w:val="005D41D5"/>
    <w:rsid w:val="005D537F"/>
    <w:rsid w:val="005D53BF"/>
    <w:rsid w:val="005D5496"/>
    <w:rsid w:val="005D54A4"/>
    <w:rsid w:val="005D5740"/>
    <w:rsid w:val="005D5DDF"/>
    <w:rsid w:val="005D6058"/>
    <w:rsid w:val="005D6093"/>
    <w:rsid w:val="005D625B"/>
    <w:rsid w:val="005D65B2"/>
    <w:rsid w:val="005D65E9"/>
    <w:rsid w:val="005D66B4"/>
    <w:rsid w:val="005D66E6"/>
    <w:rsid w:val="005D690B"/>
    <w:rsid w:val="005D6CA0"/>
    <w:rsid w:val="005D6D5B"/>
    <w:rsid w:val="005D6F4A"/>
    <w:rsid w:val="005D71B1"/>
    <w:rsid w:val="005D7737"/>
    <w:rsid w:val="005D775D"/>
    <w:rsid w:val="005D7A17"/>
    <w:rsid w:val="005D7C49"/>
    <w:rsid w:val="005E003F"/>
    <w:rsid w:val="005E078C"/>
    <w:rsid w:val="005E09EF"/>
    <w:rsid w:val="005E0BE9"/>
    <w:rsid w:val="005E0FD6"/>
    <w:rsid w:val="005E1125"/>
    <w:rsid w:val="005E1233"/>
    <w:rsid w:val="005E161D"/>
    <w:rsid w:val="005E1A2F"/>
    <w:rsid w:val="005E24CE"/>
    <w:rsid w:val="005E28D1"/>
    <w:rsid w:val="005E2A16"/>
    <w:rsid w:val="005E3556"/>
    <w:rsid w:val="005E37DA"/>
    <w:rsid w:val="005E3F1A"/>
    <w:rsid w:val="005E42D9"/>
    <w:rsid w:val="005E467C"/>
    <w:rsid w:val="005E4B1C"/>
    <w:rsid w:val="005E4FC7"/>
    <w:rsid w:val="005E56B4"/>
    <w:rsid w:val="005E5C81"/>
    <w:rsid w:val="005E6094"/>
    <w:rsid w:val="005E60C2"/>
    <w:rsid w:val="005E69AF"/>
    <w:rsid w:val="005E6ED4"/>
    <w:rsid w:val="005E73CA"/>
    <w:rsid w:val="005E7988"/>
    <w:rsid w:val="005F03B5"/>
    <w:rsid w:val="005F0544"/>
    <w:rsid w:val="005F06B9"/>
    <w:rsid w:val="005F0AE4"/>
    <w:rsid w:val="005F0BE3"/>
    <w:rsid w:val="005F0C28"/>
    <w:rsid w:val="005F115D"/>
    <w:rsid w:val="005F12FD"/>
    <w:rsid w:val="005F1581"/>
    <w:rsid w:val="005F16FE"/>
    <w:rsid w:val="005F1873"/>
    <w:rsid w:val="005F195C"/>
    <w:rsid w:val="005F1C7B"/>
    <w:rsid w:val="005F2886"/>
    <w:rsid w:val="005F30DC"/>
    <w:rsid w:val="005F312C"/>
    <w:rsid w:val="005F338C"/>
    <w:rsid w:val="005F348D"/>
    <w:rsid w:val="005F38FA"/>
    <w:rsid w:val="005F3DFF"/>
    <w:rsid w:val="005F3F96"/>
    <w:rsid w:val="005F4770"/>
    <w:rsid w:val="005F4E83"/>
    <w:rsid w:val="005F5832"/>
    <w:rsid w:val="005F5A6F"/>
    <w:rsid w:val="005F5D36"/>
    <w:rsid w:val="005F5E69"/>
    <w:rsid w:val="005F6023"/>
    <w:rsid w:val="005F607E"/>
    <w:rsid w:val="005F6420"/>
    <w:rsid w:val="005F6897"/>
    <w:rsid w:val="005F6D7F"/>
    <w:rsid w:val="005F76C1"/>
    <w:rsid w:val="005F7C1A"/>
    <w:rsid w:val="005F7F49"/>
    <w:rsid w:val="0060019B"/>
    <w:rsid w:val="00600340"/>
    <w:rsid w:val="0060121E"/>
    <w:rsid w:val="00601312"/>
    <w:rsid w:val="00601BD3"/>
    <w:rsid w:val="00601CA6"/>
    <w:rsid w:val="00601E86"/>
    <w:rsid w:val="00602135"/>
    <w:rsid w:val="006023DB"/>
    <w:rsid w:val="006031EB"/>
    <w:rsid w:val="00603309"/>
    <w:rsid w:val="00603DAA"/>
    <w:rsid w:val="00603E16"/>
    <w:rsid w:val="00604E9B"/>
    <w:rsid w:val="00605131"/>
    <w:rsid w:val="00605766"/>
    <w:rsid w:val="00605822"/>
    <w:rsid w:val="00605BA4"/>
    <w:rsid w:val="00605CCD"/>
    <w:rsid w:val="00606343"/>
    <w:rsid w:val="00606EF4"/>
    <w:rsid w:val="0060705A"/>
    <w:rsid w:val="006072B8"/>
    <w:rsid w:val="006075AD"/>
    <w:rsid w:val="006076CD"/>
    <w:rsid w:val="00607750"/>
    <w:rsid w:val="00607AC7"/>
    <w:rsid w:val="0061004D"/>
    <w:rsid w:val="006101CE"/>
    <w:rsid w:val="006102BD"/>
    <w:rsid w:val="0061035D"/>
    <w:rsid w:val="0061064E"/>
    <w:rsid w:val="006106AE"/>
    <w:rsid w:val="00610C7A"/>
    <w:rsid w:val="00610E57"/>
    <w:rsid w:val="00611336"/>
    <w:rsid w:val="00611776"/>
    <w:rsid w:val="006118BE"/>
    <w:rsid w:val="00611AD1"/>
    <w:rsid w:val="00611FF0"/>
    <w:rsid w:val="0061238B"/>
    <w:rsid w:val="00612C1E"/>
    <w:rsid w:val="00613014"/>
    <w:rsid w:val="00613296"/>
    <w:rsid w:val="0061388C"/>
    <w:rsid w:val="00613D2D"/>
    <w:rsid w:val="00613DAE"/>
    <w:rsid w:val="00613F15"/>
    <w:rsid w:val="00613F3A"/>
    <w:rsid w:val="006142CC"/>
    <w:rsid w:val="00614366"/>
    <w:rsid w:val="006147CD"/>
    <w:rsid w:val="006149E6"/>
    <w:rsid w:val="00614A54"/>
    <w:rsid w:val="00614F3B"/>
    <w:rsid w:val="00614F64"/>
    <w:rsid w:val="0061500D"/>
    <w:rsid w:val="00615215"/>
    <w:rsid w:val="006152B4"/>
    <w:rsid w:val="00615817"/>
    <w:rsid w:val="00616092"/>
    <w:rsid w:val="0061640B"/>
    <w:rsid w:val="00616601"/>
    <w:rsid w:val="006168F8"/>
    <w:rsid w:val="00617330"/>
    <w:rsid w:val="006176BC"/>
    <w:rsid w:val="0061772F"/>
    <w:rsid w:val="00617C26"/>
    <w:rsid w:val="00617D74"/>
    <w:rsid w:val="006201ED"/>
    <w:rsid w:val="00620201"/>
    <w:rsid w:val="00620210"/>
    <w:rsid w:val="00620AE5"/>
    <w:rsid w:val="00620CF0"/>
    <w:rsid w:val="00621056"/>
    <w:rsid w:val="00621888"/>
    <w:rsid w:val="006219D7"/>
    <w:rsid w:val="006221B9"/>
    <w:rsid w:val="0062312E"/>
    <w:rsid w:val="00623242"/>
    <w:rsid w:val="00623C89"/>
    <w:rsid w:val="00624031"/>
    <w:rsid w:val="00624975"/>
    <w:rsid w:val="00624C9B"/>
    <w:rsid w:val="00624EF6"/>
    <w:rsid w:val="00625471"/>
    <w:rsid w:val="0062571F"/>
    <w:rsid w:val="00625B95"/>
    <w:rsid w:val="00625CB3"/>
    <w:rsid w:val="00625F14"/>
    <w:rsid w:val="00625FAB"/>
    <w:rsid w:val="006261ED"/>
    <w:rsid w:val="006264ED"/>
    <w:rsid w:val="00626AEC"/>
    <w:rsid w:val="00627374"/>
    <w:rsid w:val="006279D0"/>
    <w:rsid w:val="00630037"/>
    <w:rsid w:val="0063015D"/>
    <w:rsid w:val="006302CF"/>
    <w:rsid w:val="0063048D"/>
    <w:rsid w:val="00630825"/>
    <w:rsid w:val="0063088F"/>
    <w:rsid w:val="0063094D"/>
    <w:rsid w:val="00630A70"/>
    <w:rsid w:val="006311BB"/>
    <w:rsid w:val="006312F4"/>
    <w:rsid w:val="00631E50"/>
    <w:rsid w:val="0063205F"/>
    <w:rsid w:val="00632365"/>
    <w:rsid w:val="00632A2B"/>
    <w:rsid w:val="00632B65"/>
    <w:rsid w:val="0063342B"/>
    <w:rsid w:val="0063386D"/>
    <w:rsid w:val="00633EAE"/>
    <w:rsid w:val="00634095"/>
    <w:rsid w:val="006345C5"/>
    <w:rsid w:val="006346F3"/>
    <w:rsid w:val="00634844"/>
    <w:rsid w:val="00634898"/>
    <w:rsid w:val="00634980"/>
    <w:rsid w:val="006349EF"/>
    <w:rsid w:val="00635219"/>
    <w:rsid w:val="00635367"/>
    <w:rsid w:val="00635415"/>
    <w:rsid w:val="00635838"/>
    <w:rsid w:val="00635A31"/>
    <w:rsid w:val="00635CE4"/>
    <w:rsid w:val="006368BC"/>
    <w:rsid w:val="00636D6F"/>
    <w:rsid w:val="00637D13"/>
    <w:rsid w:val="0064048B"/>
    <w:rsid w:val="00640B1E"/>
    <w:rsid w:val="00640BB0"/>
    <w:rsid w:val="0064105B"/>
    <w:rsid w:val="0064115B"/>
    <w:rsid w:val="0064168B"/>
    <w:rsid w:val="00641E94"/>
    <w:rsid w:val="00641EB9"/>
    <w:rsid w:val="006420B3"/>
    <w:rsid w:val="00642340"/>
    <w:rsid w:val="00642BEA"/>
    <w:rsid w:val="00642DA9"/>
    <w:rsid w:val="00642E34"/>
    <w:rsid w:val="00643753"/>
    <w:rsid w:val="006444C6"/>
    <w:rsid w:val="006448C0"/>
    <w:rsid w:val="00644F6B"/>
    <w:rsid w:val="006453D8"/>
    <w:rsid w:val="00645D62"/>
    <w:rsid w:val="00645E70"/>
    <w:rsid w:val="00646495"/>
    <w:rsid w:val="00646553"/>
    <w:rsid w:val="00646716"/>
    <w:rsid w:val="00646794"/>
    <w:rsid w:val="00646EFF"/>
    <w:rsid w:val="006470C0"/>
    <w:rsid w:val="00647644"/>
    <w:rsid w:val="00647B68"/>
    <w:rsid w:val="00647B6C"/>
    <w:rsid w:val="00647E8E"/>
    <w:rsid w:val="00647FFC"/>
    <w:rsid w:val="006502A0"/>
    <w:rsid w:val="00650B90"/>
    <w:rsid w:val="0065156B"/>
    <w:rsid w:val="00651885"/>
    <w:rsid w:val="006520EB"/>
    <w:rsid w:val="0065227D"/>
    <w:rsid w:val="006523E6"/>
    <w:rsid w:val="00652501"/>
    <w:rsid w:val="006528AF"/>
    <w:rsid w:val="0065291A"/>
    <w:rsid w:val="00652DA1"/>
    <w:rsid w:val="00652F85"/>
    <w:rsid w:val="00653382"/>
    <w:rsid w:val="00653821"/>
    <w:rsid w:val="00653B7A"/>
    <w:rsid w:val="00653C30"/>
    <w:rsid w:val="00653FE4"/>
    <w:rsid w:val="00654473"/>
    <w:rsid w:val="006550E0"/>
    <w:rsid w:val="006560DB"/>
    <w:rsid w:val="006562BB"/>
    <w:rsid w:val="006567A5"/>
    <w:rsid w:val="00656973"/>
    <w:rsid w:val="00656A5C"/>
    <w:rsid w:val="00656AC3"/>
    <w:rsid w:val="00656BF1"/>
    <w:rsid w:val="00656FE5"/>
    <w:rsid w:val="006571DC"/>
    <w:rsid w:val="00657979"/>
    <w:rsid w:val="00657C06"/>
    <w:rsid w:val="00657EE0"/>
    <w:rsid w:val="0066014C"/>
    <w:rsid w:val="00660705"/>
    <w:rsid w:val="006608EA"/>
    <w:rsid w:val="0066106F"/>
    <w:rsid w:val="00661285"/>
    <w:rsid w:val="006613BB"/>
    <w:rsid w:val="0066196D"/>
    <w:rsid w:val="00661B1A"/>
    <w:rsid w:val="00661B3F"/>
    <w:rsid w:val="00661CF2"/>
    <w:rsid w:val="00661FF3"/>
    <w:rsid w:val="00662075"/>
    <w:rsid w:val="00662AD0"/>
    <w:rsid w:val="00662FED"/>
    <w:rsid w:val="00663089"/>
    <w:rsid w:val="0066378E"/>
    <w:rsid w:val="006637B2"/>
    <w:rsid w:val="00663987"/>
    <w:rsid w:val="00663C7F"/>
    <w:rsid w:val="00663C83"/>
    <w:rsid w:val="00663D15"/>
    <w:rsid w:val="00664DFA"/>
    <w:rsid w:val="006652E7"/>
    <w:rsid w:val="00665300"/>
    <w:rsid w:val="006655F2"/>
    <w:rsid w:val="006657AB"/>
    <w:rsid w:val="00665A19"/>
    <w:rsid w:val="00665A6D"/>
    <w:rsid w:val="00665A7F"/>
    <w:rsid w:val="00665F68"/>
    <w:rsid w:val="00666113"/>
    <w:rsid w:val="00666279"/>
    <w:rsid w:val="00666402"/>
    <w:rsid w:val="006665CB"/>
    <w:rsid w:val="006668E1"/>
    <w:rsid w:val="006673D7"/>
    <w:rsid w:val="006673DD"/>
    <w:rsid w:val="0066747A"/>
    <w:rsid w:val="006676F6"/>
    <w:rsid w:val="00667A4D"/>
    <w:rsid w:val="0067038C"/>
    <w:rsid w:val="00670471"/>
    <w:rsid w:val="006705F2"/>
    <w:rsid w:val="0067067B"/>
    <w:rsid w:val="00670AC6"/>
    <w:rsid w:val="00670E34"/>
    <w:rsid w:val="00670E6B"/>
    <w:rsid w:val="00671674"/>
    <w:rsid w:val="00671D08"/>
    <w:rsid w:val="00671DBB"/>
    <w:rsid w:val="00671FCC"/>
    <w:rsid w:val="006723EC"/>
    <w:rsid w:val="00672608"/>
    <w:rsid w:val="006726C2"/>
    <w:rsid w:val="00672717"/>
    <w:rsid w:val="00672851"/>
    <w:rsid w:val="006728C6"/>
    <w:rsid w:val="00672D90"/>
    <w:rsid w:val="006731D7"/>
    <w:rsid w:val="00673302"/>
    <w:rsid w:val="00673387"/>
    <w:rsid w:val="006749AE"/>
    <w:rsid w:val="00674D46"/>
    <w:rsid w:val="00674DCB"/>
    <w:rsid w:val="00674E6E"/>
    <w:rsid w:val="006752C0"/>
    <w:rsid w:val="00675433"/>
    <w:rsid w:val="00675C31"/>
    <w:rsid w:val="006760CE"/>
    <w:rsid w:val="006762B2"/>
    <w:rsid w:val="006763CC"/>
    <w:rsid w:val="00676E59"/>
    <w:rsid w:val="0067710D"/>
    <w:rsid w:val="0067732F"/>
    <w:rsid w:val="006774F1"/>
    <w:rsid w:val="00677648"/>
    <w:rsid w:val="006779CE"/>
    <w:rsid w:val="00677CD9"/>
    <w:rsid w:val="00680176"/>
    <w:rsid w:val="00680A75"/>
    <w:rsid w:val="00680E80"/>
    <w:rsid w:val="00680EB8"/>
    <w:rsid w:val="006810C5"/>
    <w:rsid w:val="0068136A"/>
    <w:rsid w:val="006818AC"/>
    <w:rsid w:val="0068297F"/>
    <w:rsid w:val="00683017"/>
    <w:rsid w:val="0068309A"/>
    <w:rsid w:val="0068315C"/>
    <w:rsid w:val="006834D5"/>
    <w:rsid w:val="00684477"/>
    <w:rsid w:val="00684529"/>
    <w:rsid w:val="00684E49"/>
    <w:rsid w:val="006851AE"/>
    <w:rsid w:val="006852CA"/>
    <w:rsid w:val="006852D5"/>
    <w:rsid w:val="00685BE7"/>
    <w:rsid w:val="00686125"/>
    <w:rsid w:val="0068642B"/>
    <w:rsid w:val="00686452"/>
    <w:rsid w:val="0068645B"/>
    <w:rsid w:val="00686732"/>
    <w:rsid w:val="00686A4D"/>
    <w:rsid w:val="00686D8B"/>
    <w:rsid w:val="00686F1B"/>
    <w:rsid w:val="00687C80"/>
    <w:rsid w:val="00687FEE"/>
    <w:rsid w:val="006900DE"/>
    <w:rsid w:val="006905CF"/>
    <w:rsid w:val="00690E7D"/>
    <w:rsid w:val="006911A5"/>
    <w:rsid w:val="00691788"/>
    <w:rsid w:val="00691C11"/>
    <w:rsid w:val="0069236A"/>
    <w:rsid w:val="00692553"/>
    <w:rsid w:val="0069265A"/>
    <w:rsid w:val="00692877"/>
    <w:rsid w:val="00692A88"/>
    <w:rsid w:val="00693B32"/>
    <w:rsid w:val="00693E92"/>
    <w:rsid w:val="00693FB1"/>
    <w:rsid w:val="00694274"/>
    <w:rsid w:val="00694726"/>
    <w:rsid w:val="00694C1D"/>
    <w:rsid w:val="00694E92"/>
    <w:rsid w:val="00695C5B"/>
    <w:rsid w:val="00695D03"/>
    <w:rsid w:val="006960D0"/>
    <w:rsid w:val="00696873"/>
    <w:rsid w:val="00696C73"/>
    <w:rsid w:val="00696D0A"/>
    <w:rsid w:val="00697018"/>
    <w:rsid w:val="006976C7"/>
    <w:rsid w:val="00697A0D"/>
    <w:rsid w:val="00697CD4"/>
    <w:rsid w:val="006A0055"/>
    <w:rsid w:val="006A01C1"/>
    <w:rsid w:val="006A0292"/>
    <w:rsid w:val="006A053F"/>
    <w:rsid w:val="006A05E6"/>
    <w:rsid w:val="006A09D5"/>
    <w:rsid w:val="006A0D2F"/>
    <w:rsid w:val="006A0EEA"/>
    <w:rsid w:val="006A124E"/>
    <w:rsid w:val="006A1553"/>
    <w:rsid w:val="006A1559"/>
    <w:rsid w:val="006A1597"/>
    <w:rsid w:val="006A1869"/>
    <w:rsid w:val="006A29AD"/>
    <w:rsid w:val="006A29BD"/>
    <w:rsid w:val="006A29DD"/>
    <w:rsid w:val="006A305A"/>
    <w:rsid w:val="006A3261"/>
    <w:rsid w:val="006A3387"/>
    <w:rsid w:val="006A3996"/>
    <w:rsid w:val="006A3BD3"/>
    <w:rsid w:val="006A3C47"/>
    <w:rsid w:val="006A3C58"/>
    <w:rsid w:val="006A442C"/>
    <w:rsid w:val="006A46B3"/>
    <w:rsid w:val="006A4803"/>
    <w:rsid w:val="006A4838"/>
    <w:rsid w:val="006A4A04"/>
    <w:rsid w:val="006A4A24"/>
    <w:rsid w:val="006A4A94"/>
    <w:rsid w:val="006A4CD4"/>
    <w:rsid w:val="006A4D37"/>
    <w:rsid w:val="006A4E72"/>
    <w:rsid w:val="006A5C66"/>
    <w:rsid w:val="006A5D92"/>
    <w:rsid w:val="006A5DA1"/>
    <w:rsid w:val="006A60FB"/>
    <w:rsid w:val="006A628C"/>
    <w:rsid w:val="006A6459"/>
    <w:rsid w:val="006A6961"/>
    <w:rsid w:val="006A6991"/>
    <w:rsid w:val="006A6AD9"/>
    <w:rsid w:val="006A6F12"/>
    <w:rsid w:val="006A731D"/>
    <w:rsid w:val="006A73F7"/>
    <w:rsid w:val="006A7783"/>
    <w:rsid w:val="006A7CE5"/>
    <w:rsid w:val="006A7D27"/>
    <w:rsid w:val="006A7E48"/>
    <w:rsid w:val="006A7F11"/>
    <w:rsid w:val="006B040B"/>
    <w:rsid w:val="006B050B"/>
    <w:rsid w:val="006B0D3F"/>
    <w:rsid w:val="006B1485"/>
    <w:rsid w:val="006B1BF9"/>
    <w:rsid w:val="006B217A"/>
    <w:rsid w:val="006B280E"/>
    <w:rsid w:val="006B2AAE"/>
    <w:rsid w:val="006B2D94"/>
    <w:rsid w:val="006B2F74"/>
    <w:rsid w:val="006B38B9"/>
    <w:rsid w:val="006B3A14"/>
    <w:rsid w:val="006B3BD6"/>
    <w:rsid w:val="006B3BDD"/>
    <w:rsid w:val="006B41AE"/>
    <w:rsid w:val="006B41E5"/>
    <w:rsid w:val="006B47EE"/>
    <w:rsid w:val="006B4C3A"/>
    <w:rsid w:val="006B5462"/>
    <w:rsid w:val="006B5575"/>
    <w:rsid w:val="006B5A30"/>
    <w:rsid w:val="006B67A7"/>
    <w:rsid w:val="006B6C97"/>
    <w:rsid w:val="006B6D4E"/>
    <w:rsid w:val="006B6D59"/>
    <w:rsid w:val="006B70F8"/>
    <w:rsid w:val="006B7488"/>
    <w:rsid w:val="006B7AEC"/>
    <w:rsid w:val="006C0170"/>
    <w:rsid w:val="006C0EB3"/>
    <w:rsid w:val="006C13F1"/>
    <w:rsid w:val="006C1775"/>
    <w:rsid w:val="006C18B6"/>
    <w:rsid w:val="006C1AD4"/>
    <w:rsid w:val="006C2290"/>
    <w:rsid w:val="006C2402"/>
    <w:rsid w:val="006C2691"/>
    <w:rsid w:val="006C284E"/>
    <w:rsid w:val="006C2AA5"/>
    <w:rsid w:val="006C3130"/>
    <w:rsid w:val="006C320F"/>
    <w:rsid w:val="006C32FF"/>
    <w:rsid w:val="006C3497"/>
    <w:rsid w:val="006C3CF9"/>
    <w:rsid w:val="006C3E45"/>
    <w:rsid w:val="006C4142"/>
    <w:rsid w:val="006C479A"/>
    <w:rsid w:val="006C4D4B"/>
    <w:rsid w:val="006C51A6"/>
    <w:rsid w:val="006C5624"/>
    <w:rsid w:val="006C6113"/>
    <w:rsid w:val="006C6206"/>
    <w:rsid w:val="006C68B0"/>
    <w:rsid w:val="006C710C"/>
    <w:rsid w:val="006C7535"/>
    <w:rsid w:val="006C76CD"/>
    <w:rsid w:val="006C78A8"/>
    <w:rsid w:val="006C7DE0"/>
    <w:rsid w:val="006C7FA3"/>
    <w:rsid w:val="006D0944"/>
    <w:rsid w:val="006D190D"/>
    <w:rsid w:val="006D2009"/>
    <w:rsid w:val="006D22E8"/>
    <w:rsid w:val="006D2940"/>
    <w:rsid w:val="006D2E29"/>
    <w:rsid w:val="006D31B6"/>
    <w:rsid w:val="006D34DF"/>
    <w:rsid w:val="006D3C26"/>
    <w:rsid w:val="006D3E3B"/>
    <w:rsid w:val="006D3E79"/>
    <w:rsid w:val="006D3FB2"/>
    <w:rsid w:val="006D429C"/>
    <w:rsid w:val="006D4523"/>
    <w:rsid w:val="006D520A"/>
    <w:rsid w:val="006D5865"/>
    <w:rsid w:val="006D5867"/>
    <w:rsid w:val="006D5898"/>
    <w:rsid w:val="006D6651"/>
    <w:rsid w:val="006D66D7"/>
    <w:rsid w:val="006D68D6"/>
    <w:rsid w:val="006D6EF5"/>
    <w:rsid w:val="006D7107"/>
    <w:rsid w:val="006D72EA"/>
    <w:rsid w:val="006D7315"/>
    <w:rsid w:val="006D7407"/>
    <w:rsid w:val="006D7469"/>
    <w:rsid w:val="006D74AD"/>
    <w:rsid w:val="006D76EA"/>
    <w:rsid w:val="006D7B01"/>
    <w:rsid w:val="006D7B79"/>
    <w:rsid w:val="006D7CC4"/>
    <w:rsid w:val="006E01B7"/>
    <w:rsid w:val="006E066A"/>
    <w:rsid w:val="006E090A"/>
    <w:rsid w:val="006E1281"/>
    <w:rsid w:val="006E18E7"/>
    <w:rsid w:val="006E1904"/>
    <w:rsid w:val="006E1AFA"/>
    <w:rsid w:val="006E1E7F"/>
    <w:rsid w:val="006E24F6"/>
    <w:rsid w:val="006E2563"/>
    <w:rsid w:val="006E3090"/>
    <w:rsid w:val="006E318C"/>
    <w:rsid w:val="006E3BD7"/>
    <w:rsid w:val="006E4926"/>
    <w:rsid w:val="006E4DAA"/>
    <w:rsid w:val="006E4DF6"/>
    <w:rsid w:val="006E4E6E"/>
    <w:rsid w:val="006E5250"/>
    <w:rsid w:val="006E5379"/>
    <w:rsid w:val="006E540F"/>
    <w:rsid w:val="006E5426"/>
    <w:rsid w:val="006E557A"/>
    <w:rsid w:val="006E56F4"/>
    <w:rsid w:val="006E5839"/>
    <w:rsid w:val="006E5E72"/>
    <w:rsid w:val="006E61A1"/>
    <w:rsid w:val="006E62CF"/>
    <w:rsid w:val="006E6D28"/>
    <w:rsid w:val="006E6D39"/>
    <w:rsid w:val="006E7113"/>
    <w:rsid w:val="006E7D30"/>
    <w:rsid w:val="006F021C"/>
    <w:rsid w:val="006F0617"/>
    <w:rsid w:val="006F0AC1"/>
    <w:rsid w:val="006F0EAD"/>
    <w:rsid w:val="006F11AA"/>
    <w:rsid w:val="006F15C3"/>
    <w:rsid w:val="006F1845"/>
    <w:rsid w:val="006F1880"/>
    <w:rsid w:val="006F1A6D"/>
    <w:rsid w:val="006F272C"/>
    <w:rsid w:val="006F288D"/>
    <w:rsid w:val="006F2C59"/>
    <w:rsid w:val="006F2D2C"/>
    <w:rsid w:val="006F3344"/>
    <w:rsid w:val="006F3534"/>
    <w:rsid w:val="006F354D"/>
    <w:rsid w:val="006F3692"/>
    <w:rsid w:val="006F3B4B"/>
    <w:rsid w:val="006F3BD4"/>
    <w:rsid w:val="006F40BE"/>
    <w:rsid w:val="006F4383"/>
    <w:rsid w:val="006F4617"/>
    <w:rsid w:val="006F4981"/>
    <w:rsid w:val="006F4C54"/>
    <w:rsid w:val="006F4D2D"/>
    <w:rsid w:val="006F4F94"/>
    <w:rsid w:val="006F4FE0"/>
    <w:rsid w:val="006F51C6"/>
    <w:rsid w:val="006F5335"/>
    <w:rsid w:val="006F59EA"/>
    <w:rsid w:val="006F5AC1"/>
    <w:rsid w:val="006F5B90"/>
    <w:rsid w:val="006F5D97"/>
    <w:rsid w:val="006F5F61"/>
    <w:rsid w:val="006F6EEF"/>
    <w:rsid w:val="006F74AD"/>
    <w:rsid w:val="006F7B22"/>
    <w:rsid w:val="0070006C"/>
    <w:rsid w:val="0070041A"/>
    <w:rsid w:val="00700579"/>
    <w:rsid w:val="00700730"/>
    <w:rsid w:val="00700959"/>
    <w:rsid w:val="00700B6C"/>
    <w:rsid w:val="00700F14"/>
    <w:rsid w:val="0070108A"/>
    <w:rsid w:val="007011B9"/>
    <w:rsid w:val="00701228"/>
    <w:rsid w:val="00701AF2"/>
    <w:rsid w:val="00701D8A"/>
    <w:rsid w:val="00701DAE"/>
    <w:rsid w:val="00702D05"/>
    <w:rsid w:val="0070328A"/>
    <w:rsid w:val="007035F9"/>
    <w:rsid w:val="00703EB7"/>
    <w:rsid w:val="007041CE"/>
    <w:rsid w:val="0070434E"/>
    <w:rsid w:val="00704496"/>
    <w:rsid w:val="007048BB"/>
    <w:rsid w:val="00704FA6"/>
    <w:rsid w:val="007057E2"/>
    <w:rsid w:val="0070593B"/>
    <w:rsid w:val="0070596B"/>
    <w:rsid w:val="00705DD8"/>
    <w:rsid w:val="007060E1"/>
    <w:rsid w:val="00706931"/>
    <w:rsid w:val="00706D9F"/>
    <w:rsid w:val="00706E06"/>
    <w:rsid w:val="0070703C"/>
    <w:rsid w:val="00707130"/>
    <w:rsid w:val="00707341"/>
    <w:rsid w:val="00707565"/>
    <w:rsid w:val="0070757A"/>
    <w:rsid w:val="00707741"/>
    <w:rsid w:val="007078FE"/>
    <w:rsid w:val="00707D7D"/>
    <w:rsid w:val="00707DCE"/>
    <w:rsid w:val="00707FBE"/>
    <w:rsid w:val="007118E5"/>
    <w:rsid w:val="00711A97"/>
    <w:rsid w:val="00711A9F"/>
    <w:rsid w:val="00711C2A"/>
    <w:rsid w:val="00711D1B"/>
    <w:rsid w:val="00711FB3"/>
    <w:rsid w:val="007123B2"/>
    <w:rsid w:val="0071263F"/>
    <w:rsid w:val="00713D1F"/>
    <w:rsid w:val="0071402C"/>
    <w:rsid w:val="0071440A"/>
    <w:rsid w:val="00714513"/>
    <w:rsid w:val="00714785"/>
    <w:rsid w:val="0071482D"/>
    <w:rsid w:val="0071497A"/>
    <w:rsid w:val="00714C98"/>
    <w:rsid w:val="00714EF7"/>
    <w:rsid w:val="00714F1F"/>
    <w:rsid w:val="0071528A"/>
    <w:rsid w:val="007153BC"/>
    <w:rsid w:val="007155FD"/>
    <w:rsid w:val="00715A05"/>
    <w:rsid w:val="00715B19"/>
    <w:rsid w:val="00715C30"/>
    <w:rsid w:val="00715F4B"/>
    <w:rsid w:val="0071634C"/>
    <w:rsid w:val="00716534"/>
    <w:rsid w:val="00716568"/>
    <w:rsid w:val="007166CB"/>
    <w:rsid w:val="00716AEA"/>
    <w:rsid w:val="00716C01"/>
    <w:rsid w:val="00716C82"/>
    <w:rsid w:val="00716FA5"/>
    <w:rsid w:val="0071700F"/>
    <w:rsid w:val="0071778F"/>
    <w:rsid w:val="0071788D"/>
    <w:rsid w:val="00717B3F"/>
    <w:rsid w:val="00717BF6"/>
    <w:rsid w:val="00717F32"/>
    <w:rsid w:val="007208DE"/>
    <w:rsid w:val="0072129E"/>
    <w:rsid w:val="00721799"/>
    <w:rsid w:val="00721E07"/>
    <w:rsid w:val="007221D7"/>
    <w:rsid w:val="007222A1"/>
    <w:rsid w:val="00722478"/>
    <w:rsid w:val="00722F30"/>
    <w:rsid w:val="00723303"/>
    <w:rsid w:val="0072352E"/>
    <w:rsid w:val="0072365D"/>
    <w:rsid w:val="00723793"/>
    <w:rsid w:val="007237B1"/>
    <w:rsid w:val="0072410F"/>
    <w:rsid w:val="00724185"/>
    <w:rsid w:val="00724B84"/>
    <w:rsid w:val="00724C2E"/>
    <w:rsid w:val="00724C3E"/>
    <w:rsid w:val="00725058"/>
    <w:rsid w:val="007252C7"/>
    <w:rsid w:val="00725387"/>
    <w:rsid w:val="00725C29"/>
    <w:rsid w:val="00726EE0"/>
    <w:rsid w:val="007274DF"/>
    <w:rsid w:val="0072770B"/>
    <w:rsid w:val="00727AFF"/>
    <w:rsid w:val="00727E47"/>
    <w:rsid w:val="00730381"/>
    <w:rsid w:val="00730504"/>
    <w:rsid w:val="00730E13"/>
    <w:rsid w:val="00731316"/>
    <w:rsid w:val="0073199E"/>
    <w:rsid w:val="00731F1D"/>
    <w:rsid w:val="0073266A"/>
    <w:rsid w:val="0073289B"/>
    <w:rsid w:val="00732C34"/>
    <w:rsid w:val="00732ECF"/>
    <w:rsid w:val="00733506"/>
    <w:rsid w:val="0073383B"/>
    <w:rsid w:val="00733D7F"/>
    <w:rsid w:val="00733FCF"/>
    <w:rsid w:val="00734451"/>
    <w:rsid w:val="007344FD"/>
    <w:rsid w:val="00734513"/>
    <w:rsid w:val="00734626"/>
    <w:rsid w:val="0073467A"/>
    <w:rsid w:val="0073475B"/>
    <w:rsid w:val="00735549"/>
    <w:rsid w:val="00735783"/>
    <w:rsid w:val="00735CAB"/>
    <w:rsid w:val="00735E9F"/>
    <w:rsid w:val="00735F02"/>
    <w:rsid w:val="007360DD"/>
    <w:rsid w:val="00736913"/>
    <w:rsid w:val="007369DB"/>
    <w:rsid w:val="00736E06"/>
    <w:rsid w:val="007373BE"/>
    <w:rsid w:val="0073770C"/>
    <w:rsid w:val="007379E4"/>
    <w:rsid w:val="00737B74"/>
    <w:rsid w:val="00737EB1"/>
    <w:rsid w:val="007404DD"/>
    <w:rsid w:val="00740AC4"/>
    <w:rsid w:val="00740BFA"/>
    <w:rsid w:val="00740E49"/>
    <w:rsid w:val="00740F64"/>
    <w:rsid w:val="007411D8"/>
    <w:rsid w:val="007413E3"/>
    <w:rsid w:val="007415CD"/>
    <w:rsid w:val="00741A50"/>
    <w:rsid w:val="00742E93"/>
    <w:rsid w:val="007431BD"/>
    <w:rsid w:val="0074358E"/>
    <w:rsid w:val="007435DA"/>
    <w:rsid w:val="007436C4"/>
    <w:rsid w:val="00743B82"/>
    <w:rsid w:val="00743C27"/>
    <w:rsid w:val="007442BC"/>
    <w:rsid w:val="007442EA"/>
    <w:rsid w:val="00744C9A"/>
    <w:rsid w:val="00744D55"/>
    <w:rsid w:val="00744D56"/>
    <w:rsid w:val="00744F4C"/>
    <w:rsid w:val="0074542A"/>
    <w:rsid w:val="00745489"/>
    <w:rsid w:val="007464D9"/>
    <w:rsid w:val="0074729E"/>
    <w:rsid w:val="00747ECE"/>
    <w:rsid w:val="00750362"/>
    <w:rsid w:val="0075042C"/>
    <w:rsid w:val="00750732"/>
    <w:rsid w:val="00750BD1"/>
    <w:rsid w:val="0075103B"/>
    <w:rsid w:val="007515C8"/>
    <w:rsid w:val="00751C1C"/>
    <w:rsid w:val="00751C99"/>
    <w:rsid w:val="00751DF2"/>
    <w:rsid w:val="00751E45"/>
    <w:rsid w:val="007524A9"/>
    <w:rsid w:val="00752714"/>
    <w:rsid w:val="00752847"/>
    <w:rsid w:val="00752B46"/>
    <w:rsid w:val="00752F97"/>
    <w:rsid w:val="007531A8"/>
    <w:rsid w:val="00753284"/>
    <w:rsid w:val="00753508"/>
    <w:rsid w:val="0075357A"/>
    <w:rsid w:val="007538F3"/>
    <w:rsid w:val="00753C6A"/>
    <w:rsid w:val="00753E48"/>
    <w:rsid w:val="00754132"/>
    <w:rsid w:val="00754FBF"/>
    <w:rsid w:val="0075571E"/>
    <w:rsid w:val="00755B0B"/>
    <w:rsid w:val="00755CDE"/>
    <w:rsid w:val="00755FDC"/>
    <w:rsid w:val="007560CA"/>
    <w:rsid w:val="00756165"/>
    <w:rsid w:val="0075656F"/>
    <w:rsid w:val="00756A78"/>
    <w:rsid w:val="00756AB0"/>
    <w:rsid w:val="00756AC1"/>
    <w:rsid w:val="00756E51"/>
    <w:rsid w:val="007571FE"/>
    <w:rsid w:val="00757927"/>
    <w:rsid w:val="00757C3B"/>
    <w:rsid w:val="00757CEB"/>
    <w:rsid w:val="0076003F"/>
    <w:rsid w:val="007600C6"/>
    <w:rsid w:val="007604BF"/>
    <w:rsid w:val="00760868"/>
    <w:rsid w:val="00760A86"/>
    <w:rsid w:val="00760D24"/>
    <w:rsid w:val="0076142C"/>
    <w:rsid w:val="00761594"/>
    <w:rsid w:val="00761C9B"/>
    <w:rsid w:val="007620F7"/>
    <w:rsid w:val="00762458"/>
    <w:rsid w:val="00762D56"/>
    <w:rsid w:val="00762E1B"/>
    <w:rsid w:val="0076302F"/>
    <w:rsid w:val="00763498"/>
    <w:rsid w:val="00763FDD"/>
    <w:rsid w:val="0076402B"/>
    <w:rsid w:val="00764C43"/>
    <w:rsid w:val="0076530E"/>
    <w:rsid w:val="00765354"/>
    <w:rsid w:val="007655AF"/>
    <w:rsid w:val="0076569D"/>
    <w:rsid w:val="00765CB9"/>
    <w:rsid w:val="00766291"/>
    <w:rsid w:val="0076646F"/>
    <w:rsid w:val="00766506"/>
    <w:rsid w:val="00767A78"/>
    <w:rsid w:val="00767BF6"/>
    <w:rsid w:val="00767E18"/>
    <w:rsid w:val="00770799"/>
    <w:rsid w:val="00771036"/>
    <w:rsid w:val="0077125D"/>
    <w:rsid w:val="007712A7"/>
    <w:rsid w:val="00771B1D"/>
    <w:rsid w:val="00771B53"/>
    <w:rsid w:val="00771C4F"/>
    <w:rsid w:val="00771DF4"/>
    <w:rsid w:val="00771E1B"/>
    <w:rsid w:val="00771EE2"/>
    <w:rsid w:val="00772942"/>
    <w:rsid w:val="00772E2C"/>
    <w:rsid w:val="00772F7E"/>
    <w:rsid w:val="00773056"/>
    <w:rsid w:val="007732B6"/>
    <w:rsid w:val="00773785"/>
    <w:rsid w:val="007737AE"/>
    <w:rsid w:val="0077424E"/>
    <w:rsid w:val="00774350"/>
    <w:rsid w:val="00774469"/>
    <w:rsid w:val="00774696"/>
    <w:rsid w:val="0077485F"/>
    <w:rsid w:val="00774AC0"/>
    <w:rsid w:val="00774CB2"/>
    <w:rsid w:val="00774DE0"/>
    <w:rsid w:val="00775475"/>
    <w:rsid w:val="0077591C"/>
    <w:rsid w:val="00775B14"/>
    <w:rsid w:val="00775B56"/>
    <w:rsid w:val="00775BAB"/>
    <w:rsid w:val="00775D25"/>
    <w:rsid w:val="00776827"/>
    <w:rsid w:val="00776E65"/>
    <w:rsid w:val="00776EF5"/>
    <w:rsid w:val="0077722F"/>
    <w:rsid w:val="00777271"/>
    <w:rsid w:val="00777400"/>
    <w:rsid w:val="0077743F"/>
    <w:rsid w:val="0077749C"/>
    <w:rsid w:val="007777E0"/>
    <w:rsid w:val="007779BE"/>
    <w:rsid w:val="00777E9D"/>
    <w:rsid w:val="00780283"/>
    <w:rsid w:val="007802D8"/>
    <w:rsid w:val="00780485"/>
    <w:rsid w:val="00780DE6"/>
    <w:rsid w:val="00780E33"/>
    <w:rsid w:val="007814E6"/>
    <w:rsid w:val="00781553"/>
    <w:rsid w:val="00781E73"/>
    <w:rsid w:val="007824FD"/>
    <w:rsid w:val="00782624"/>
    <w:rsid w:val="007829E5"/>
    <w:rsid w:val="00782E81"/>
    <w:rsid w:val="00783285"/>
    <w:rsid w:val="007833D8"/>
    <w:rsid w:val="0078368A"/>
    <w:rsid w:val="00783979"/>
    <w:rsid w:val="00783AED"/>
    <w:rsid w:val="00783AFA"/>
    <w:rsid w:val="00784321"/>
    <w:rsid w:val="007845BB"/>
    <w:rsid w:val="007847D8"/>
    <w:rsid w:val="00784BBF"/>
    <w:rsid w:val="00785206"/>
    <w:rsid w:val="007854F0"/>
    <w:rsid w:val="00785BA5"/>
    <w:rsid w:val="00786293"/>
    <w:rsid w:val="007867DC"/>
    <w:rsid w:val="00786CE0"/>
    <w:rsid w:val="00787367"/>
    <w:rsid w:val="00787479"/>
    <w:rsid w:val="0079004B"/>
    <w:rsid w:val="00790402"/>
    <w:rsid w:val="0079047D"/>
    <w:rsid w:val="0079064B"/>
    <w:rsid w:val="00790D0A"/>
    <w:rsid w:val="00790D83"/>
    <w:rsid w:val="007910A1"/>
    <w:rsid w:val="007913A3"/>
    <w:rsid w:val="00791798"/>
    <w:rsid w:val="00791E9A"/>
    <w:rsid w:val="0079212D"/>
    <w:rsid w:val="00792309"/>
    <w:rsid w:val="0079242E"/>
    <w:rsid w:val="00792512"/>
    <w:rsid w:val="00792C1A"/>
    <w:rsid w:val="007932C6"/>
    <w:rsid w:val="0079332B"/>
    <w:rsid w:val="00793CDF"/>
    <w:rsid w:val="00793E58"/>
    <w:rsid w:val="007941DE"/>
    <w:rsid w:val="0079440E"/>
    <w:rsid w:val="0079448C"/>
    <w:rsid w:val="00794884"/>
    <w:rsid w:val="00795010"/>
    <w:rsid w:val="0079521A"/>
    <w:rsid w:val="007953ED"/>
    <w:rsid w:val="00795981"/>
    <w:rsid w:val="00795B64"/>
    <w:rsid w:val="007967D3"/>
    <w:rsid w:val="00796977"/>
    <w:rsid w:val="0079717A"/>
    <w:rsid w:val="007973EB"/>
    <w:rsid w:val="00797673"/>
    <w:rsid w:val="00797C62"/>
    <w:rsid w:val="00797E2B"/>
    <w:rsid w:val="00797FC1"/>
    <w:rsid w:val="00797FD5"/>
    <w:rsid w:val="007A0697"/>
    <w:rsid w:val="007A0E71"/>
    <w:rsid w:val="007A13F9"/>
    <w:rsid w:val="007A16E9"/>
    <w:rsid w:val="007A1941"/>
    <w:rsid w:val="007A1BB5"/>
    <w:rsid w:val="007A1F74"/>
    <w:rsid w:val="007A2106"/>
    <w:rsid w:val="007A24B8"/>
    <w:rsid w:val="007A252B"/>
    <w:rsid w:val="007A2C2B"/>
    <w:rsid w:val="007A2F5C"/>
    <w:rsid w:val="007A32AA"/>
    <w:rsid w:val="007A363A"/>
    <w:rsid w:val="007A369F"/>
    <w:rsid w:val="007A36F4"/>
    <w:rsid w:val="007A405C"/>
    <w:rsid w:val="007A4719"/>
    <w:rsid w:val="007A4827"/>
    <w:rsid w:val="007A48D2"/>
    <w:rsid w:val="007A4F69"/>
    <w:rsid w:val="007A5ECD"/>
    <w:rsid w:val="007A604E"/>
    <w:rsid w:val="007A668D"/>
    <w:rsid w:val="007A6F87"/>
    <w:rsid w:val="007A7752"/>
    <w:rsid w:val="007A7929"/>
    <w:rsid w:val="007A7A72"/>
    <w:rsid w:val="007A7E3A"/>
    <w:rsid w:val="007B0303"/>
    <w:rsid w:val="007B0C39"/>
    <w:rsid w:val="007B0C5B"/>
    <w:rsid w:val="007B1212"/>
    <w:rsid w:val="007B1273"/>
    <w:rsid w:val="007B1639"/>
    <w:rsid w:val="007B19C7"/>
    <w:rsid w:val="007B1EA2"/>
    <w:rsid w:val="007B2427"/>
    <w:rsid w:val="007B279B"/>
    <w:rsid w:val="007B2898"/>
    <w:rsid w:val="007B2A62"/>
    <w:rsid w:val="007B2BB0"/>
    <w:rsid w:val="007B2BD3"/>
    <w:rsid w:val="007B2CEA"/>
    <w:rsid w:val="007B3AA4"/>
    <w:rsid w:val="007B3C71"/>
    <w:rsid w:val="007B3E35"/>
    <w:rsid w:val="007B3E8B"/>
    <w:rsid w:val="007B3F28"/>
    <w:rsid w:val="007B43BF"/>
    <w:rsid w:val="007B4764"/>
    <w:rsid w:val="007B4EB1"/>
    <w:rsid w:val="007B5059"/>
    <w:rsid w:val="007B5398"/>
    <w:rsid w:val="007B5650"/>
    <w:rsid w:val="007B5F28"/>
    <w:rsid w:val="007B5F2C"/>
    <w:rsid w:val="007B6790"/>
    <w:rsid w:val="007B6D52"/>
    <w:rsid w:val="007B7059"/>
    <w:rsid w:val="007B727D"/>
    <w:rsid w:val="007B7CC7"/>
    <w:rsid w:val="007C017D"/>
    <w:rsid w:val="007C0BF2"/>
    <w:rsid w:val="007C0FC2"/>
    <w:rsid w:val="007C116E"/>
    <w:rsid w:val="007C11BA"/>
    <w:rsid w:val="007C17AB"/>
    <w:rsid w:val="007C196C"/>
    <w:rsid w:val="007C1B2C"/>
    <w:rsid w:val="007C2797"/>
    <w:rsid w:val="007C2BC1"/>
    <w:rsid w:val="007C2CAE"/>
    <w:rsid w:val="007C3237"/>
    <w:rsid w:val="007C3B7D"/>
    <w:rsid w:val="007C3D97"/>
    <w:rsid w:val="007C4F3D"/>
    <w:rsid w:val="007C4F71"/>
    <w:rsid w:val="007C51AE"/>
    <w:rsid w:val="007C531E"/>
    <w:rsid w:val="007C559E"/>
    <w:rsid w:val="007C5D55"/>
    <w:rsid w:val="007C61B3"/>
    <w:rsid w:val="007C6ED7"/>
    <w:rsid w:val="007C76C9"/>
    <w:rsid w:val="007C76F7"/>
    <w:rsid w:val="007D0555"/>
    <w:rsid w:val="007D05FA"/>
    <w:rsid w:val="007D0980"/>
    <w:rsid w:val="007D0B24"/>
    <w:rsid w:val="007D0FF1"/>
    <w:rsid w:val="007D2647"/>
    <w:rsid w:val="007D26F5"/>
    <w:rsid w:val="007D28AA"/>
    <w:rsid w:val="007D2971"/>
    <w:rsid w:val="007D2E2C"/>
    <w:rsid w:val="007D2F7B"/>
    <w:rsid w:val="007D30E0"/>
    <w:rsid w:val="007D31D9"/>
    <w:rsid w:val="007D3343"/>
    <w:rsid w:val="007D34A0"/>
    <w:rsid w:val="007D34DB"/>
    <w:rsid w:val="007D3682"/>
    <w:rsid w:val="007D3726"/>
    <w:rsid w:val="007D3CC4"/>
    <w:rsid w:val="007D444E"/>
    <w:rsid w:val="007D51E0"/>
    <w:rsid w:val="007D5317"/>
    <w:rsid w:val="007D5367"/>
    <w:rsid w:val="007D539B"/>
    <w:rsid w:val="007D559F"/>
    <w:rsid w:val="007D5786"/>
    <w:rsid w:val="007D59A5"/>
    <w:rsid w:val="007D5D4C"/>
    <w:rsid w:val="007D679C"/>
    <w:rsid w:val="007D6ABE"/>
    <w:rsid w:val="007D6AE3"/>
    <w:rsid w:val="007D6B6E"/>
    <w:rsid w:val="007D6D59"/>
    <w:rsid w:val="007D741D"/>
    <w:rsid w:val="007D75D9"/>
    <w:rsid w:val="007D7DD0"/>
    <w:rsid w:val="007D7F8F"/>
    <w:rsid w:val="007E0391"/>
    <w:rsid w:val="007E05A5"/>
    <w:rsid w:val="007E05F1"/>
    <w:rsid w:val="007E0878"/>
    <w:rsid w:val="007E08F9"/>
    <w:rsid w:val="007E0B7E"/>
    <w:rsid w:val="007E0CAE"/>
    <w:rsid w:val="007E0D8D"/>
    <w:rsid w:val="007E0D8F"/>
    <w:rsid w:val="007E1190"/>
    <w:rsid w:val="007E1AB9"/>
    <w:rsid w:val="007E30A2"/>
    <w:rsid w:val="007E3CD2"/>
    <w:rsid w:val="007E3E3E"/>
    <w:rsid w:val="007E40E4"/>
    <w:rsid w:val="007E4903"/>
    <w:rsid w:val="007E4CF3"/>
    <w:rsid w:val="007E4D84"/>
    <w:rsid w:val="007E5097"/>
    <w:rsid w:val="007E5281"/>
    <w:rsid w:val="007E5AD2"/>
    <w:rsid w:val="007E5BA7"/>
    <w:rsid w:val="007E5FC6"/>
    <w:rsid w:val="007E605B"/>
    <w:rsid w:val="007E6393"/>
    <w:rsid w:val="007E695E"/>
    <w:rsid w:val="007E6E15"/>
    <w:rsid w:val="007E6E8E"/>
    <w:rsid w:val="007E726B"/>
    <w:rsid w:val="007E733D"/>
    <w:rsid w:val="007E74D3"/>
    <w:rsid w:val="007F0191"/>
    <w:rsid w:val="007F0328"/>
    <w:rsid w:val="007F0506"/>
    <w:rsid w:val="007F0C3C"/>
    <w:rsid w:val="007F0F2A"/>
    <w:rsid w:val="007F114B"/>
    <w:rsid w:val="007F1DEB"/>
    <w:rsid w:val="007F20B1"/>
    <w:rsid w:val="007F2560"/>
    <w:rsid w:val="007F321F"/>
    <w:rsid w:val="007F3F57"/>
    <w:rsid w:val="007F4A09"/>
    <w:rsid w:val="007F4CD5"/>
    <w:rsid w:val="007F5034"/>
    <w:rsid w:val="007F5070"/>
    <w:rsid w:val="007F5588"/>
    <w:rsid w:val="007F5631"/>
    <w:rsid w:val="007F5803"/>
    <w:rsid w:val="007F5F63"/>
    <w:rsid w:val="007F667E"/>
    <w:rsid w:val="007F66E4"/>
    <w:rsid w:val="007F67AC"/>
    <w:rsid w:val="007F6F3E"/>
    <w:rsid w:val="007F700D"/>
    <w:rsid w:val="007F7230"/>
    <w:rsid w:val="007F72B1"/>
    <w:rsid w:val="007F73A8"/>
    <w:rsid w:val="007F7693"/>
    <w:rsid w:val="007F7CD5"/>
    <w:rsid w:val="007F7EBE"/>
    <w:rsid w:val="00800C01"/>
    <w:rsid w:val="00801315"/>
    <w:rsid w:val="00801728"/>
    <w:rsid w:val="00801873"/>
    <w:rsid w:val="00801BEC"/>
    <w:rsid w:val="00802172"/>
    <w:rsid w:val="00802977"/>
    <w:rsid w:val="00802DAF"/>
    <w:rsid w:val="00802DD9"/>
    <w:rsid w:val="0080311B"/>
    <w:rsid w:val="0080359B"/>
    <w:rsid w:val="00803F8D"/>
    <w:rsid w:val="00804E80"/>
    <w:rsid w:val="00805090"/>
    <w:rsid w:val="008054DC"/>
    <w:rsid w:val="0080568B"/>
    <w:rsid w:val="008064B3"/>
    <w:rsid w:val="008066AE"/>
    <w:rsid w:val="00807C6C"/>
    <w:rsid w:val="0081001F"/>
    <w:rsid w:val="008100D8"/>
    <w:rsid w:val="008103FB"/>
    <w:rsid w:val="00810405"/>
    <w:rsid w:val="00810C3C"/>
    <w:rsid w:val="00810CC6"/>
    <w:rsid w:val="008111F2"/>
    <w:rsid w:val="0081136A"/>
    <w:rsid w:val="008127A0"/>
    <w:rsid w:val="00813034"/>
    <w:rsid w:val="00813283"/>
    <w:rsid w:val="00813332"/>
    <w:rsid w:val="008139A1"/>
    <w:rsid w:val="00814208"/>
    <w:rsid w:val="008142C1"/>
    <w:rsid w:val="0081452C"/>
    <w:rsid w:val="008152A2"/>
    <w:rsid w:val="0081538B"/>
    <w:rsid w:val="0081561D"/>
    <w:rsid w:val="00815701"/>
    <w:rsid w:val="0081589B"/>
    <w:rsid w:val="00815A8A"/>
    <w:rsid w:val="008160C1"/>
    <w:rsid w:val="008164DB"/>
    <w:rsid w:val="00816C1B"/>
    <w:rsid w:val="00817572"/>
    <w:rsid w:val="00817837"/>
    <w:rsid w:val="00817AC7"/>
    <w:rsid w:val="00817D88"/>
    <w:rsid w:val="00817EF2"/>
    <w:rsid w:val="00820835"/>
    <w:rsid w:val="00820BA7"/>
    <w:rsid w:val="00820CA6"/>
    <w:rsid w:val="00820F7B"/>
    <w:rsid w:val="00820FE3"/>
    <w:rsid w:val="0082167A"/>
    <w:rsid w:val="008218B8"/>
    <w:rsid w:val="00821C85"/>
    <w:rsid w:val="008225CA"/>
    <w:rsid w:val="0082293D"/>
    <w:rsid w:val="00822D52"/>
    <w:rsid w:val="00823462"/>
    <w:rsid w:val="00823E8F"/>
    <w:rsid w:val="0082409F"/>
    <w:rsid w:val="008240E8"/>
    <w:rsid w:val="00824307"/>
    <w:rsid w:val="008247FD"/>
    <w:rsid w:val="00824A2D"/>
    <w:rsid w:val="008251DA"/>
    <w:rsid w:val="008257AE"/>
    <w:rsid w:val="00825D2A"/>
    <w:rsid w:val="00825FA2"/>
    <w:rsid w:val="00826234"/>
    <w:rsid w:val="0082664C"/>
    <w:rsid w:val="00826915"/>
    <w:rsid w:val="0082692D"/>
    <w:rsid w:val="00826E8C"/>
    <w:rsid w:val="008272B4"/>
    <w:rsid w:val="0082773F"/>
    <w:rsid w:val="008279E2"/>
    <w:rsid w:val="00827D53"/>
    <w:rsid w:val="00827FF6"/>
    <w:rsid w:val="00830106"/>
    <w:rsid w:val="00830379"/>
    <w:rsid w:val="008308AF"/>
    <w:rsid w:val="00831427"/>
    <w:rsid w:val="008316D8"/>
    <w:rsid w:val="00831A36"/>
    <w:rsid w:val="0083206A"/>
    <w:rsid w:val="00832202"/>
    <w:rsid w:val="00832716"/>
    <w:rsid w:val="008327F5"/>
    <w:rsid w:val="00833826"/>
    <w:rsid w:val="00833C34"/>
    <w:rsid w:val="00833E86"/>
    <w:rsid w:val="00834629"/>
    <w:rsid w:val="00834A98"/>
    <w:rsid w:val="00834EB7"/>
    <w:rsid w:val="00835086"/>
    <w:rsid w:val="00835C21"/>
    <w:rsid w:val="00835F22"/>
    <w:rsid w:val="00835FAB"/>
    <w:rsid w:val="0083634B"/>
    <w:rsid w:val="008368FB"/>
    <w:rsid w:val="00836B6B"/>
    <w:rsid w:val="00836E99"/>
    <w:rsid w:val="00837AED"/>
    <w:rsid w:val="00837D57"/>
    <w:rsid w:val="00837F09"/>
    <w:rsid w:val="00840300"/>
    <w:rsid w:val="008406AF"/>
    <w:rsid w:val="00840954"/>
    <w:rsid w:val="00840A3C"/>
    <w:rsid w:val="00840A49"/>
    <w:rsid w:val="00840B69"/>
    <w:rsid w:val="00840B6C"/>
    <w:rsid w:val="00841118"/>
    <w:rsid w:val="008416BC"/>
    <w:rsid w:val="0084173B"/>
    <w:rsid w:val="0084181D"/>
    <w:rsid w:val="008419BC"/>
    <w:rsid w:val="008420B5"/>
    <w:rsid w:val="0084210B"/>
    <w:rsid w:val="00842436"/>
    <w:rsid w:val="00842CDA"/>
    <w:rsid w:val="008432DD"/>
    <w:rsid w:val="0084330C"/>
    <w:rsid w:val="008433C4"/>
    <w:rsid w:val="008435C9"/>
    <w:rsid w:val="008435F8"/>
    <w:rsid w:val="00843827"/>
    <w:rsid w:val="00843C20"/>
    <w:rsid w:val="00843F55"/>
    <w:rsid w:val="00844B6D"/>
    <w:rsid w:val="0084569B"/>
    <w:rsid w:val="008456C5"/>
    <w:rsid w:val="00845B62"/>
    <w:rsid w:val="00845F24"/>
    <w:rsid w:val="00846501"/>
    <w:rsid w:val="008469AE"/>
    <w:rsid w:val="008475E1"/>
    <w:rsid w:val="00847C0C"/>
    <w:rsid w:val="00847C65"/>
    <w:rsid w:val="00850109"/>
    <w:rsid w:val="00850254"/>
    <w:rsid w:val="0085040C"/>
    <w:rsid w:val="0085080C"/>
    <w:rsid w:val="00850812"/>
    <w:rsid w:val="00850918"/>
    <w:rsid w:val="00850C0C"/>
    <w:rsid w:val="0085125D"/>
    <w:rsid w:val="0085134A"/>
    <w:rsid w:val="008517E2"/>
    <w:rsid w:val="008523FB"/>
    <w:rsid w:val="00852D68"/>
    <w:rsid w:val="00852DB8"/>
    <w:rsid w:val="0085305F"/>
    <w:rsid w:val="00853070"/>
    <w:rsid w:val="00853586"/>
    <w:rsid w:val="008535C4"/>
    <w:rsid w:val="00853AD9"/>
    <w:rsid w:val="00853CD6"/>
    <w:rsid w:val="00853DA8"/>
    <w:rsid w:val="008544F9"/>
    <w:rsid w:val="00854B0F"/>
    <w:rsid w:val="00854BFD"/>
    <w:rsid w:val="00854EAC"/>
    <w:rsid w:val="00854F72"/>
    <w:rsid w:val="00855856"/>
    <w:rsid w:val="00855BA9"/>
    <w:rsid w:val="00855CFA"/>
    <w:rsid w:val="008562AF"/>
    <w:rsid w:val="00856391"/>
    <w:rsid w:val="00856608"/>
    <w:rsid w:val="00856E16"/>
    <w:rsid w:val="00857634"/>
    <w:rsid w:val="00857638"/>
    <w:rsid w:val="0085777B"/>
    <w:rsid w:val="00857E6F"/>
    <w:rsid w:val="00857FEB"/>
    <w:rsid w:val="00860115"/>
    <w:rsid w:val="008605B9"/>
    <w:rsid w:val="00860A39"/>
    <w:rsid w:val="00860C55"/>
    <w:rsid w:val="00860E03"/>
    <w:rsid w:val="00860EF9"/>
    <w:rsid w:val="008620B6"/>
    <w:rsid w:val="00862772"/>
    <w:rsid w:val="00862C02"/>
    <w:rsid w:val="00862EFE"/>
    <w:rsid w:val="00863090"/>
    <w:rsid w:val="008632AA"/>
    <w:rsid w:val="00863621"/>
    <w:rsid w:val="00864D8E"/>
    <w:rsid w:val="00865258"/>
    <w:rsid w:val="008654F2"/>
    <w:rsid w:val="008665D4"/>
    <w:rsid w:val="00866753"/>
    <w:rsid w:val="00866914"/>
    <w:rsid w:val="0086694C"/>
    <w:rsid w:val="00866F3E"/>
    <w:rsid w:val="00866F71"/>
    <w:rsid w:val="00867225"/>
    <w:rsid w:val="00867518"/>
    <w:rsid w:val="00867591"/>
    <w:rsid w:val="00867777"/>
    <w:rsid w:val="0087008F"/>
    <w:rsid w:val="008701A1"/>
    <w:rsid w:val="00870305"/>
    <w:rsid w:val="008703E4"/>
    <w:rsid w:val="00870619"/>
    <w:rsid w:val="00870F59"/>
    <w:rsid w:val="00870F71"/>
    <w:rsid w:val="00871227"/>
    <w:rsid w:val="00871937"/>
    <w:rsid w:val="0087217D"/>
    <w:rsid w:val="00872211"/>
    <w:rsid w:val="00872363"/>
    <w:rsid w:val="008727B4"/>
    <w:rsid w:val="00873468"/>
    <w:rsid w:val="00873583"/>
    <w:rsid w:val="0087374C"/>
    <w:rsid w:val="00873775"/>
    <w:rsid w:val="00873807"/>
    <w:rsid w:val="0087391A"/>
    <w:rsid w:val="008743F6"/>
    <w:rsid w:val="00874CAB"/>
    <w:rsid w:val="00874E1F"/>
    <w:rsid w:val="00875094"/>
    <w:rsid w:val="008750DB"/>
    <w:rsid w:val="0087551E"/>
    <w:rsid w:val="0087569B"/>
    <w:rsid w:val="00875730"/>
    <w:rsid w:val="00875A79"/>
    <w:rsid w:val="00875CE8"/>
    <w:rsid w:val="0087664E"/>
    <w:rsid w:val="008770D9"/>
    <w:rsid w:val="00877602"/>
    <w:rsid w:val="008777EA"/>
    <w:rsid w:val="0087799F"/>
    <w:rsid w:val="00880519"/>
    <w:rsid w:val="0088094F"/>
    <w:rsid w:val="00880AD9"/>
    <w:rsid w:val="00880B36"/>
    <w:rsid w:val="00881028"/>
    <w:rsid w:val="00882C08"/>
    <w:rsid w:val="00882C3E"/>
    <w:rsid w:val="00882EB3"/>
    <w:rsid w:val="00883AF5"/>
    <w:rsid w:val="00884175"/>
    <w:rsid w:val="008841A9"/>
    <w:rsid w:val="00884BA8"/>
    <w:rsid w:val="0088559B"/>
    <w:rsid w:val="00885B43"/>
    <w:rsid w:val="00885D02"/>
    <w:rsid w:val="00885DA8"/>
    <w:rsid w:val="00886351"/>
    <w:rsid w:val="0088650A"/>
    <w:rsid w:val="0088687E"/>
    <w:rsid w:val="00886ADC"/>
    <w:rsid w:val="0088730A"/>
    <w:rsid w:val="008873D0"/>
    <w:rsid w:val="00887404"/>
    <w:rsid w:val="00887681"/>
    <w:rsid w:val="008901F2"/>
    <w:rsid w:val="0089028C"/>
    <w:rsid w:val="0089096D"/>
    <w:rsid w:val="00890B4E"/>
    <w:rsid w:val="00890BCF"/>
    <w:rsid w:val="00890E15"/>
    <w:rsid w:val="00891017"/>
    <w:rsid w:val="008913A3"/>
    <w:rsid w:val="008919A5"/>
    <w:rsid w:val="00891BBE"/>
    <w:rsid w:val="00892306"/>
    <w:rsid w:val="0089234C"/>
    <w:rsid w:val="00892D74"/>
    <w:rsid w:val="00892F61"/>
    <w:rsid w:val="0089378A"/>
    <w:rsid w:val="00893D43"/>
    <w:rsid w:val="00893E58"/>
    <w:rsid w:val="00893ED8"/>
    <w:rsid w:val="00894657"/>
    <w:rsid w:val="00894BD5"/>
    <w:rsid w:val="00895486"/>
    <w:rsid w:val="0089549C"/>
    <w:rsid w:val="008956A3"/>
    <w:rsid w:val="008959FA"/>
    <w:rsid w:val="00895DF9"/>
    <w:rsid w:val="00896398"/>
    <w:rsid w:val="008964B4"/>
    <w:rsid w:val="00896A1F"/>
    <w:rsid w:val="00896E3A"/>
    <w:rsid w:val="008979CA"/>
    <w:rsid w:val="00897CB3"/>
    <w:rsid w:val="00897DFD"/>
    <w:rsid w:val="00897EF5"/>
    <w:rsid w:val="008A0131"/>
    <w:rsid w:val="008A0237"/>
    <w:rsid w:val="008A06DA"/>
    <w:rsid w:val="008A0A4B"/>
    <w:rsid w:val="008A103A"/>
    <w:rsid w:val="008A10E3"/>
    <w:rsid w:val="008A132E"/>
    <w:rsid w:val="008A15BA"/>
    <w:rsid w:val="008A1675"/>
    <w:rsid w:val="008A1F19"/>
    <w:rsid w:val="008A22FB"/>
    <w:rsid w:val="008A2C40"/>
    <w:rsid w:val="008A35D8"/>
    <w:rsid w:val="008A36CF"/>
    <w:rsid w:val="008A3B09"/>
    <w:rsid w:val="008A3CCB"/>
    <w:rsid w:val="008A3DB1"/>
    <w:rsid w:val="008A40C7"/>
    <w:rsid w:val="008A46DA"/>
    <w:rsid w:val="008A49D7"/>
    <w:rsid w:val="008A4B60"/>
    <w:rsid w:val="008A4FDC"/>
    <w:rsid w:val="008A5095"/>
    <w:rsid w:val="008A5627"/>
    <w:rsid w:val="008A5FE5"/>
    <w:rsid w:val="008A660A"/>
    <w:rsid w:val="008A6F39"/>
    <w:rsid w:val="008A7014"/>
    <w:rsid w:val="008A718F"/>
    <w:rsid w:val="008A74AF"/>
    <w:rsid w:val="008A7980"/>
    <w:rsid w:val="008A7A1B"/>
    <w:rsid w:val="008A7CED"/>
    <w:rsid w:val="008B008A"/>
    <w:rsid w:val="008B064F"/>
    <w:rsid w:val="008B0CDB"/>
    <w:rsid w:val="008B1AA2"/>
    <w:rsid w:val="008B1B56"/>
    <w:rsid w:val="008B1EC9"/>
    <w:rsid w:val="008B1FC0"/>
    <w:rsid w:val="008B28B4"/>
    <w:rsid w:val="008B366D"/>
    <w:rsid w:val="008B37D8"/>
    <w:rsid w:val="008B3FB4"/>
    <w:rsid w:val="008B40A4"/>
    <w:rsid w:val="008B4356"/>
    <w:rsid w:val="008B440F"/>
    <w:rsid w:val="008B4998"/>
    <w:rsid w:val="008B505D"/>
    <w:rsid w:val="008B5525"/>
    <w:rsid w:val="008B5708"/>
    <w:rsid w:val="008B57EF"/>
    <w:rsid w:val="008B5BDC"/>
    <w:rsid w:val="008B5F3E"/>
    <w:rsid w:val="008B60CF"/>
    <w:rsid w:val="008B6126"/>
    <w:rsid w:val="008B62E3"/>
    <w:rsid w:val="008B64E2"/>
    <w:rsid w:val="008B6638"/>
    <w:rsid w:val="008B6F89"/>
    <w:rsid w:val="008B7614"/>
    <w:rsid w:val="008B7F9D"/>
    <w:rsid w:val="008C04EC"/>
    <w:rsid w:val="008C07A3"/>
    <w:rsid w:val="008C0855"/>
    <w:rsid w:val="008C1352"/>
    <w:rsid w:val="008C157F"/>
    <w:rsid w:val="008C1940"/>
    <w:rsid w:val="008C1A43"/>
    <w:rsid w:val="008C1CDA"/>
    <w:rsid w:val="008C254A"/>
    <w:rsid w:val="008C3D47"/>
    <w:rsid w:val="008C44F1"/>
    <w:rsid w:val="008C47E0"/>
    <w:rsid w:val="008C4932"/>
    <w:rsid w:val="008C56DD"/>
    <w:rsid w:val="008C602D"/>
    <w:rsid w:val="008C61EF"/>
    <w:rsid w:val="008C6546"/>
    <w:rsid w:val="008C6A76"/>
    <w:rsid w:val="008C6BF6"/>
    <w:rsid w:val="008C6F83"/>
    <w:rsid w:val="008C7C0B"/>
    <w:rsid w:val="008D02C9"/>
    <w:rsid w:val="008D0519"/>
    <w:rsid w:val="008D07CF"/>
    <w:rsid w:val="008D08D6"/>
    <w:rsid w:val="008D0BF6"/>
    <w:rsid w:val="008D128D"/>
    <w:rsid w:val="008D13AA"/>
    <w:rsid w:val="008D1DC6"/>
    <w:rsid w:val="008D2AF0"/>
    <w:rsid w:val="008D2BC2"/>
    <w:rsid w:val="008D33C0"/>
    <w:rsid w:val="008D34BF"/>
    <w:rsid w:val="008D367C"/>
    <w:rsid w:val="008D388A"/>
    <w:rsid w:val="008D3C10"/>
    <w:rsid w:val="008D3F91"/>
    <w:rsid w:val="008D484A"/>
    <w:rsid w:val="008D4856"/>
    <w:rsid w:val="008D4862"/>
    <w:rsid w:val="008D5114"/>
    <w:rsid w:val="008D5324"/>
    <w:rsid w:val="008D55D4"/>
    <w:rsid w:val="008D5B5B"/>
    <w:rsid w:val="008D5E2B"/>
    <w:rsid w:val="008D61DB"/>
    <w:rsid w:val="008D62F8"/>
    <w:rsid w:val="008D696A"/>
    <w:rsid w:val="008D6BE7"/>
    <w:rsid w:val="008D6D27"/>
    <w:rsid w:val="008D6D3E"/>
    <w:rsid w:val="008D6F03"/>
    <w:rsid w:val="008D770B"/>
    <w:rsid w:val="008D7892"/>
    <w:rsid w:val="008D7EEC"/>
    <w:rsid w:val="008E041F"/>
    <w:rsid w:val="008E084D"/>
    <w:rsid w:val="008E0C0E"/>
    <w:rsid w:val="008E0C94"/>
    <w:rsid w:val="008E1151"/>
    <w:rsid w:val="008E117E"/>
    <w:rsid w:val="008E1C87"/>
    <w:rsid w:val="008E2A17"/>
    <w:rsid w:val="008E31B9"/>
    <w:rsid w:val="008E3711"/>
    <w:rsid w:val="008E3860"/>
    <w:rsid w:val="008E3C33"/>
    <w:rsid w:val="008E4147"/>
    <w:rsid w:val="008E4974"/>
    <w:rsid w:val="008E53A5"/>
    <w:rsid w:val="008E57C4"/>
    <w:rsid w:val="008E5829"/>
    <w:rsid w:val="008E5CBC"/>
    <w:rsid w:val="008E6307"/>
    <w:rsid w:val="008E6AC1"/>
    <w:rsid w:val="008E6E87"/>
    <w:rsid w:val="008E6F18"/>
    <w:rsid w:val="008E74D9"/>
    <w:rsid w:val="008E75EE"/>
    <w:rsid w:val="008E7C63"/>
    <w:rsid w:val="008E7D04"/>
    <w:rsid w:val="008E7D1A"/>
    <w:rsid w:val="008E7D67"/>
    <w:rsid w:val="008E7F5E"/>
    <w:rsid w:val="008F0218"/>
    <w:rsid w:val="008F050D"/>
    <w:rsid w:val="008F0661"/>
    <w:rsid w:val="008F1373"/>
    <w:rsid w:val="008F18EA"/>
    <w:rsid w:val="008F1923"/>
    <w:rsid w:val="008F1AE4"/>
    <w:rsid w:val="008F1DFD"/>
    <w:rsid w:val="008F21CE"/>
    <w:rsid w:val="008F2588"/>
    <w:rsid w:val="008F288D"/>
    <w:rsid w:val="008F2EEC"/>
    <w:rsid w:val="008F2F8D"/>
    <w:rsid w:val="008F308D"/>
    <w:rsid w:val="008F30DE"/>
    <w:rsid w:val="008F343B"/>
    <w:rsid w:val="008F3CBE"/>
    <w:rsid w:val="008F4F86"/>
    <w:rsid w:val="008F5A5B"/>
    <w:rsid w:val="008F6584"/>
    <w:rsid w:val="008F6B03"/>
    <w:rsid w:val="008F6C0A"/>
    <w:rsid w:val="008F6C87"/>
    <w:rsid w:val="008F6FC6"/>
    <w:rsid w:val="008F728A"/>
    <w:rsid w:val="008F736C"/>
    <w:rsid w:val="008F73B5"/>
    <w:rsid w:val="008F76AB"/>
    <w:rsid w:val="008F7BC7"/>
    <w:rsid w:val="008F7C76"/>
    <w:rsid w:val="008F7F2F"/>
    <w:rsid w:val="0090012E"/>
    <w:rsid w:val="009002EC"/>
    <w:rsid w:val="00900663"/>
    <w:rsid w:val="0090090B"/>
    <w:rsid w:val="00900982"/>
    <w:rsid w:val="00900DBC"/>
    <w:rsid w:val="00900F7B"/>
    <w:rsid w:val="00900FDF"/>
    <w:rsid w:val="0090107D"/>
    <w:rsid w:val="009014C5"/>
    <w:rsid w:val="00901588"/>
    <w:rsid w:val="009021D2"/>
    <w:rsid w:val="009025FB"/>
    <w:rsid w:val="00902945"/>
    <w:rsid w:val="00902B05"/>
    <w:rsid w:val="00902E4D"/>
    <w:rsid w:val="00903010"/>
    <w:rsid w:val="0090313C"/>
    <w:rsid w:val="0090316F"/>
    <w:rsid w:val="00903627"/>
    <w:rsid w:val="00903929"/>
    <w:rsid w:val="00903BA8"/>
    <w:rsid w:val="00903F6A"/>
    <w:rsid w:val="00904416"/>
    <w:rsid w:val="00904537"/>
    <w:rsid w:val="009046EE"/>
    <w:rsid w:val="0090483B"/>
    <w:rsid w:val="0090577A"/>
    <w:rsid w:val="009057BA"/>
    <w:rsid w:val="00905E3C"/>
    <w:rsid w:val="0090615F"/>
    <w:rsid w:val="009063A4"/>
    <w:rsid w:val="009064E6"/>
    <w:rsid w:val="00906572"/>
    <w:rsid w:val="00906A82"/>
    <w:rsid w:val="00906F05"/>
    <w:rsid w:val="00906F08"/>
    <w:rsid w:val="009079D1"/>
    <w:rsid w:val="00907D55"/>
    <w:rsid w:val="009100B0"/>
    <w:rsid w:val="0091024A"/>
    <w:rsid w:val="00910672"/>
    <w:rsid w:val="00910733"/>
    <w:rsid w:val="00910A91"/>
    <w:rsid w:val="00910B5D"/>
    <w:rsid w:val="00910D54"/>
    <w:rsid w:val="00910DA0"/>
    <w:rsid w:val="00910E5D"/>
    <w:rsid w:val="0091115E"/>
    <w:rsid w:val="00911381"/>
    <w:rsid w:val="009121D8"/>
    <w:rsid w:val="0091245B"/>
    <w:rsid w:val="009128D7"/>
    <w:rsid w:val="009128DA"/>
    <w:rsid w:val="00913B9B"/>
    <w:rsid w:val="00913C54"/>
    <w:rsid w:val="009140F7"/>
    <w:rsid w:val="00914730"/>
    <w:rsid w:val="00914C88"/>
    <w:rsid w:val="00914DEA"/>
    <w:rsid w:val="009153EE"/>
    <w:rsid w:val="00915418"/>
    <w:rsid w:val="0091560F"/>
    <w:rsid w:val="009165BD"/>
    <w:rsid w:val="009166E5"/>
    <w:rsid w:val="00916BC9"/>
    <w:rsid w:val="0091701D"/>
    <w:rsid w:val="00917185"/>
    <w:rsid w:val="009179ED"/>
    <w:rsid w:val="00917D61"/>
    <w:rsid w:val="00917D90"/>
    <w:rsid w:val="00917EBE"/>
    <w:rsid w:val="0092003B"/>
    <w:rsid w:val="009201B2"/>
    <w:rsid w:val="00920399"/>
    <w:rsid w:val="00920ED1"/>
    <w:rsid w:val="00921409"/>
    <w:rsid w:val="0092151A"/>
    <w:rsid w:val="00921728"/>
    <w:rsid w:val="009217AA"/>
    <w:rsid w:val="00921CAE"/>
    <w:rsid w:val="00921E3A"/>
    <w:rsid w:val="0092229A"/>
    <w:rsid w:val="00922303"/>
    <w:rsid w:val="00922912"/>
    <w:rsid w:val="00922945"/>
    <w:rsid w:val="00922BC5"/>
    <w:rsid w:val="009231D8"/>
    <w:rsid w:val="00923313"/>
    <w:rsid w:val="00923779"/>
    <w:rsid w:val="00923E23"/>
    <w:rsid w:val="00924410"/>
    <w:rsid w:val="0092476A"/>
    <w:rsid w:val="00924C71"/>
    <w:rsid w:val="00924CBD"/>
    <w:rsid w:val="009255E5"/>
    <w:rsid w:val="00925637"/>
    <w:rsid w:val="00925699"/>
    <w:rsid w:val="00925C6C"/>
    <w:rsid w:val="0092636B"/>
    <w:rsid w:val="0092683A"/>
    <w:rsid w:val="00926956"/>
    <w:rsid w:val="00926BC2"/>
    <w:rsid w:val="0092750B"/>
    <w:rsid w:val="00927550"/>
    <w:rsid w:val="00927B63"/>
    <w:rsid w:val="009301B0"/>
    <w:rsid w:val="00930358"/>
    <w:rsid w:val="00930878"/>
    <w:rsid w:val="00930A06"/>
    <w:rsid w:val="00930E8D"/>
    <w:rsid w:val="0093165E"/>
    <w:rsid w:val="009319A8"/>
    <w:rsid w:val="00931AB5"/>
    <w:rsid w:val="00931BFB"/>
    <w:rsid w:val="0093208C"/>
    <w:rsid w:val="0093210C"/>
    <w:rsid w:val="009327F4"/>
    <w:rsid w:val="009329A1"/>
    <w:rsid w:val="00932A8A"/>
    <w:rsid w:val="00932C28"/>
    <w:rsid w:val="00932C51"/>
    <w:rsid w:val="00933660"/>
    <w:rsid w:val="00934167"/>
    <w:rsid w:val="00934515"/>
    <w:rsid w:val="00934591"/>
    <w:rsid w:val="00934D09"/>
    <w:rsid w:val="009350BE"/>
    <w:rsid w:val="009359B4"/>
    <w:rsid w:val="00935A54"/>
    <w:rsid w:val="00935C80"/>
    <w:rsid w:val="00935D60"/>
    <w:rsid w:val="00936AD0"/>
    <w:rsid w:val="00937552"/>
    <w:rsid w:val="00937715"/>
    <w:rsid w:val="00940392"/>
    <w:rsid w:val="009405B2"/>
    <w:rsid w:val="00940C26"/>
    <w:rsid w:val="00940D4C"/>
    <w:rsid w:val="00941164"/>
    <w:rsid w:val="00941179"/>
    <w:rsid w:val="00941330"/>
    <w:rsid w:val="009419A5"/>
    <w:rsid w:val="00941A84"/>
    <w:rsid w:val="00942316"/>
    <w:rsid w:val="009425E5"/>
    <w:rsid w:val="00943211"/>
    <w:rsid w:val="009432FF"/>
    <w:rsid w:val="009440D3"/>
    <w:rsid w:val="0094417E"/>
    <w:rsid w:val="009443E7"/>
    <w:rsid w:val="00944488"/>
    <w:rsid w:val="00944648"/>
    <w:rsid w:val="009449AE"/>
    <w:rsid w:val="00944F8E"/>
    <w:rsid w:val="00945112"/>
    <w:rsid w:val="00945C34"/>
    <w:rsid w:val="00945D85"/>
    <w:rsid w:val="00945DB6"/>
    <w:rsid w:val="00945E23"/>
    <w:rsid w:val="0094603A"/>
    <w:rsid w:val="00946273"/>
    <w:rsid w:val="0094669B"/>
    <w:rsid w:val="00946F8F"/>
    <w:rsid w:val="009474CD"/>
    <w:rsid w:val="00947575"/>
    <w:rsid w:val="009475C4"/>
    <w:rsid w:val="00947732"/>
    <w:rsid w:val="009478CD"/>
    <w:rsid w:val="00947999"/>
    <w:rsid w:val="00947ABE"/>
    <w:rsid w:val="00947C4A"/>
    <w:rsid w:val="00947CFA"/>
    <w:rsid w:val="0095003B"/>
    <w:rsid w:val="0095036C"/>
    <w:rsid w:val="009508A8"/>
    <w:rsid w:val="0095094A"/>
    <w:rsid w:val="00950A9C"/>
    <w:rsid w:val="00950C88"/>
    <w:rsid w:val="009511C3"/>
    <w:rsid w:val="00951758"/>
    <w:rsid w:val="00951D42"/>
    <w:rsid w:val="00951FC7"/>
    <w:rsid w:val="00952D70"/>
    <w:rsid w:val="0095335F"/>
    <w:rsid w:val="00953852"/>
    <w:rsid w:val="0095398C"/>
    <w:rsid w:val="00953ED3"/>
    <w:rsid w:val="00954086"/>
    <w:rsid w:val="0095473A"/>
    <w:rsid w:val="00954F0D"/>
    <w:rsid w:val="00955068"/>
    <w:rsid w:val="00956C06"/>
    <w:rsid w:val="00956CD8"/>
    <w:rsid w:val="009571F3"/>
    <w:rsid w:val="00957491"/>
    <w:rsid w:val="009576DF"/>
    <w:rsid w:val="00957834"/>
    <w:rsid w:val="00957CFD"/>
    <w:rsid w:val="0096046D"/>
    <w:rsid w:val="0096119D"/>
    <w:rsid w:val="00961224"/>
    <w:rsid w:val="009612E9"/>
    <w:rsid w:val="0096130E"/>
    <w:rsid w:val="0096154F"/>
    <w:rsid w:val="00961952"/>
    <w:rsid w:val="00961BC5"/>
    <w:rsid w:val="00963803"/>
    <w:rsid w:val="00963A1F"/>
    <w:rsid w:val="00963B66"/>
    <w:rsid w:val="00963D4F"/>
    <w:rsid w:val="00963F06"/>
    <w:rsid w:val="00964352"/>
    <w:rsid w:val="009643A2"/>
    <w:rsid w:val="0096496A"/>
    <w:rsid w:val="00964C22"/>
    <w:rsid w:val="0096565B"/>
    <w:rsid w:val="00965682"/>
    <w:rsid w:val="00965AFC"/>
    <w:rsid w:val="00965C3D"/>
    <w:rsid w:val="00965DC7"/>
    <w:rsid w:val="00966041"/>
    <w:rsid w:val="009661BC"/>
    <w:rsid w:val="00966213"/>
    <w:rsid w:val="00966265"/>
    <w:rsid w:val="0096646F"/>
    <w:rsid w:val="00966FDA"/>
    <w:rsid w:val="00967363"/>
    <w:rsid w:val="009674D0"/>
    <w:rsid w:val="00967662"/>
    <w:rsid w:val="00967929"/>
    <w:rsid w:val="00967BBA"/>
    <w:rsid w:val="00967C6C"/>
    <w:rsid w:val="00970773"/>
    <w:rsid w:val="00970C16"/>
    <w:rsid w:val="00970F99"/>
    <w:rsid w:val="00971145"/>
    <w:rsid w:val="0097115B"/>
    <w:rsid w:val="0097306E"/>
    <w:rsid w:val="009732F8"/>
    <w:rsid w:val="009739AD"/>
    <w:rsid w:val="00973CC8"/>
    <w:rsid w:val="00974776"/>
    <w:rsid w:val="00974969"/>
    <w:rsid w:val="00974B0A"/>
    <w:rsid w:val="009750CE"/>
    <w:rsid w:val="009751A4"/>
    <w:rsid w:val="009754CA"/>
    <w:rsid w:val="00975793"/>
    <w:rsid w:val="00975F59"/>
    <w:rsid w:val="009761FE"/>
    <w:rsid w:val="009767C8"/>
    <w:rsid w:val="00976B05"/>
    <w:rsid w:val="00977A97"/>
    <w:rsid w:val="009800EB"/>
    <w:rsid w:val="00980110"/>
    <w:rsid w:val="009801C2"/>
    <w:rsid w:val="0098033B"/>
    <w:rsid w:val="0098037B"/>
    <w:rsid w:val="00980628"/>
    <w:rsid w:val="00981532"/>
    <w:rsid w:val="0098159B"/>
    <w:rsid w:val="00981778"/>
    <w:rsid w:val="00981C00"/>
    <w:rsid w:val="00982051"/>
    <w:rsid w:val="00982171"/>
    <w:rsid w:val="009824BD"/>
    <w:rsid w:val="00982BA5"/>
    <w:rsid w:val="00982D19"/>
    <w:rsid w:val="00983324"/>
    <w:rsid w:val="00983702"/>
    <w:rsid w:val="00983722"/>
    <w:rsid w:val="0098375A"/>
    <w:rsid w:val="009838B1"/>
    <w:rsid w:val="009839A8"/>
    <w:rsid w:val="0098412D"/>
    <w:rsid w:val="00984525"/>
    <w:rsid w:val="009846CC"/>
    <w:rsid w:val="00984EDA"/>
    <w:rsid w:val="0098505C"/>
    <w:rsid w:val="009850E1"/>
    <w:rsid w:val="00985300"/>
    <w:rsid w:val="0098560C"/>
    <w:rsid w:val="00985B52"/>
    <w:rsid w:val="00985B97"/>
    <w:rsid w:val="00985EA1"/>
    <w:rsid w:val="00986FCE"/>
    <w:rsid w:val="00987F3A"/>
    <w:rsid w:val="009902B5"/>
    <w:rsid w:val="00990B26"/>
    <w:rsid w:val="00990C25"/>
    <w:rsid w:val="00990F0A"/>
    <w:rsid w:val="009916BC"/>
    <w:rsid w:val="00991848"/>
    <w:rsid w:val="00991E27"/>
    <w:rsid w:val="009927B4"/>
    <w:rsid w:val="009929AC"/>
    <w:rsid w:val="00992B65"/>
    <w:rsid w:val="00993580"/>
    <w:rsid w:val="009937FD"/>
    <w:rsid w:val="009939AE"/>
    <w:rsid w:val="00993E67"/>
    <w:rsid w:val="00994889"/>
    <w:rsid w:val="00994AA8"/>
    <w:rsid w:val="00994C4E"/>
    <w:rsid w:val="00995161"/>
    <w:rsid w:val="00995322"/>
    <w:rsid w:val="00995A55"/>
    <w:rsid w:val="00995A69"/>
    <w:rsid w:val="00996624"/>
    <w:rsid w:val="00996AF4"/>
    <w:rsid w:val="00996DCD"/>
    <w:rsid w:val="00996E68"/>
    <w:rsid w:val="0099768B"/>
    <w:rsid w:val="00997D0B"/>
    <w:rsid w:val="00997FE0"/>
    <w:rsid w:val="009A001B"/>
    <w:rsid w:val="009A0261"/>
    <w:rsid w:val="009A0273"/>
    <w:rsid w:val="009A05AD"/>
    <w:rsid w:val="009A1167"/>
    <w:rsid w:val="009A1B3D"/>
    <w:rsid w:val="009A1B6A"/>
    <w:rsid w:val="009A27B5"/>
    <w:rsid w:val="009A28C6"/>
    <w:rsid w:val="009A30E6"/>
    <w:rsid w:val="009A350C"/>
    <w:rsid w:val="009A3E9F"/>
    <w:rsid w:val="009A3EFA"/>
    <w:rsid w:val="009A4834"/>
    <w:rsid w:val="009A4C56"/>
    <w:rsid w:val="009A4D5F"/>
    <w:rsid w:val="009A4D92"/>
    <w:rsid w:val="009A4DF1"/>
    <w:rsid w:val="009A5145"/>
    <w:rsid w:val="009A5216"/>
    <w:rsid w:val="009A61D7"/>
    <w:rsid w:val="009A6243"/>
    <w:rsid w:val="009A6247"/>
    <w:rsid w:val="009A658F"/>
    <w:rsid w:val="009A6647"/>
    <w:rsid w:val="009A76AB"/>
    <w:rsid w:val="009A7C9B"/>
    <w:rsid w:val="009A7CEA"/>
    <w:rsid w:val="009B00D1"/>
    <w:rsid w:val="009B033E"/>
    <w:rsid w:val="009B074B"/>
    <w:rsid w:val="009B09DE"/>
    <w:rsid w:val="009B0B4F"/>
    <w:rsid w:val="009B0F9F"/>
    <w:rsid w:val="009B1060"/>
    <w:rsid w:val="009B168E"/>
    <w:rsid w:val="009B178B"/>
    <w:rsid w:val="009B1C18"/>
    <w:rsid w:val="009B2A34"/>
    <w:rsid w:val="009B3EBD"/>
    <w:rsid w:val="009B401C"/>
    <w:rsid w:val="009B40B9"/>
    <w:rsid w:val="009B528C"/>
    <w:rsid w:val="009B58EF"/>
    <w:rsid w:val="009B5AB8"/>
    <w:rsid w:val="009B6C42"/>
    <w:rsid w:val="009B6DC2"/>
    <w:rsid w:val="009B6F54"/>
    <w:rsid w:val="009B72FB"/>
    <w:rsid w:val="009B74F3"/>
    <w:rsid w:val="009B756A"/>
    <w:rsid w:val="009B76B5"/>
    <w:rsid w:val="009B7A10"/>
    <w:rsid w:val="009B7B76"/>
    <w:rsid w:val="009C02D9"/>
    <w:rsid w:val="009C03CD"/>
    <w:rsid w:val="009C03F6"/>
    <w:rsid w:val="009C041E"/>
    <w:rsid w:val="009C04B2"/>
    <w:rsid w:val="009C0557"/>
    <w:rsid w:val="009C059B"/>
    <w:rsid w:val="009C09DC"/>
    <w:rsid w:val="009C0EBF"/>
    <w:rsid w:val="009C1132"/>
    <w:rsid w:val="009C12AE"/>
    <w:rsid w:val="009C1576"/>
    <w:rsid w:val="009C1779"/>
    <w:rsid w:val="009C1C41"/>
    <w:rsid w:val="009C1C71"/>
    <w:rsid w:val="009C1CC2"/>
    <w:rsid w:val="009C2059"/>
    <w:rsid w:val="009C25B5"/>
    <w:rsid w:val="009C2B71"/>
    <w:rsid w:val="009C2BCD"/>
    <w:rsid w:val="009C2CBC"/>
    <w:rsid w:val="009C3158"/>
    <w:rsid w:val="009C3208"/>
    <w:rsid w:val="009C3991"/>
    <w:rsid w:val="009C40F8"/>
    <w:rsid w:val="009C41CA"/>
    <w:rsid w:val="009C429D"/>
    <w:rsid w:val="009C4369"/>
    <w:rsid w:val="009C4497"/>
    <w:rsid w:val="009C47F6"/>
    <w:rsid w:val="009C49B0"/>
    <w:rsid w:val="009C4BAE"/>
    <w:rsid w:val="009C50DF"/>
    <w:rsid w:val="009C50FC"/>
    <w:rsid w:val="009C5648"/>
    <w:rsid w:val="009C56FA"/>
    <w:rsid w:val="009C58E4"/>
    <w:rsid w:val="009C5A95"/>
    <w:rsid w:val="009C5B2D"/>
    <w:rsid w:val="009C607C"/>
    <w:rsid w:val="009C62F4"/>
    <w:rsid w:val="009C70DD"/>
    <w:rsid w:val="009C73CE"/>
    <w:rsid w:val="009C771F"/>
    <w:rsid w:val="009C78E2"/>
    <w:rsid w:val="009C7D1E"/>
    <w:rsid w:val="009D01DC"/>
    <w:rsid w:val="009D0BA9"/>
    <w:rsid w:val="009D0BC7"/>
    <w:rsid w:val="009D1A23"/>
    <w:rsid w:val="009D2222"/>
    <w:rsid w:val="009D233A"/>
    <w:rsid w:val="009D254E"/>
    <w:rsid w:val="009D25BD"/>
    <w:rsid w:val="009D28EB"/>
    <w:rsid w:val="009D2FB2"/>
    <w:rsid w:val="009D348C"/>
    <w:rsid w:val="009D4012"/>
    <w:rsid w:val="009D4026"/>
    <w:rsid w:val="009D45E8"/>
    <w:rsid w:val="009D49C6"/>
    <w:rsid w:val="009D4DE1"/>
    <w:rsid w:val="009D5E77"/>
    <w:rsid w:val="009D6577"/>
    <w:rsid w:val="009D6A0F"/>
    <w:rsid w:val="009D6B26"/>
    <w:rsid w:val="009D6EA5"/>
    <w:rsid w:val="009D7173"/>
    <w:rsid w:val="009D7A07"/>
    <w:rsid w:val="009D7A3D"/>
    <w:rsid w:val="009D7B7C"/>
    <w:rsid w:val="009D7BFE"/>
    <w:rsid w:val="009D7C23"/>
    <w:rsid w:val="009D7E12"/>
    <w:rsid w:val="009E00CC"/>
    <w:rsid w:val="009E0263"/>
    <w:rsid w:val="009E02D1"/>
    <w:rsid w:val="009E0D02"/>
    <w:rsid w:val="009E0DDE"/>
    <w:rsid w:val="009E10D9"/>
    <w:rsid w:val="009E17C1"/>
    <w:rsid w:val="009E19B3"/>
    <w:rsid w:val="009E1A0F"/>
    <w:rsid w:val="009E1EE1"/>
    <w:rsid w:val="009E295B"/>
    <w:rsid w:val="009E29FB"/>
    <w:rsid w:val="009E2A95"/>
    <w:rsid w:val="009E30C3"/>
    <w:rsid w:val="009E32FE"/>
    <w:rsid w:val="009E3580"/>
    <w:rsid w:val="009E375D"/>
    <w:rsid w:val="009E3C19"/>
    <w:rsid w:val="009E42E5"/>
    <w:rsid w:val="009E430E"/>
    <w:rsid w:val="009E4398"/>
    <w:rsid w:val="009E49DC"/>
    <w:rsid w:val="009E49FF"/>
    <w:rsid w:val="009E4AF9"/>
    <w:rsid w:val="009E4D7A"/>
    <w:rsid w:val="009E52F8"/>
    <w:rsid w:val="009E5648"/>
    <w:rsid w:val="009E59C9"/>
    <w:rsid w:val="009E60EB"/>
    <w:rsid w:val="009E61DC"/>
    <w:rsid w:val="009E61E2"/>
    <w:rsid w:val="009E648C"/>
    <w:rsid w:val="009E70C7"/>
    <w:rsid w:val="009E77F6"/>
    <w:rsid w:val="009E7DCA"/>
    <w:rsid w:val="009E7E4D"/>
    <w:rsid w:val="009E7EC5"/>
    <w:rsid w:val="009F02A0"/>
    <w:rsid w:val="009F04DA"/>
    <w:rsid w:val="009F07A2"/>
    <w:rsid w:val="009F089F"/>
    <w:rsid w:val="009F0994"/>
    <w:rsid w:val="009F0AFD"/>
    <w:rsid w:val="009F0EC9"/>
    <w:rsid w:val="009F1E51"/>
    <w:rsid w:val="009F1E9D"/>
    <w:rsid w:val="009F24D5"/>
    <w:rsid w:val="009F2CB3"/>
    <w:rsid w:val="009F2D71"/>
    <w:rsid w:val="009F31C2"/>
    <w:rsid w:val="009F3391"/>
    <w:rsid w:val="009F3511"/>
    <w:rsid w:val="009F3DB1"/>
    <w:rsid w:val="009F3F9F"/>
    <w:rsid w:val="009F4133"/>
    <w:rsid w:val="009F4168"/>
    <w:rsid w:val="009F4935"/>
    <w:rsid w:val="009F49E3"/>
    <w:rsid w:val="009F4C90"/>
    <w:rsid w:val="009F4D59"/>
    <w:rsid w:val="009F4DE1"/>
    <w:rsid w:val="009F513F"/>
    <w:rsid w:val="009F535E"/>
    <w:rsid w:val="009F5877"/>
    <w:rsid w:val="009F58AE"/>
    <w:rsid w:val="009F5BDF"/>
    <w:rsid w:val="009F5D24"/>
    <w:rsid w:val="009F5E44"/>
    <w:rsid w:val="009F63E5"/>
    <w:rsid w:val="009F66FD"/>
    <w:rsid w:val="009F6872"/>
    <w:rsid w:val="009F689C"/>
    <w:rsid w:val="009F6E34"/>
    <w:rsid w:val="009F6EDA"/>
    <w:rsid w:val="009F77B6"/>
    <w:rsid w:val="009F7AB2"/>
    <w:rsid w:val="009F7B0F"/>
    <w:rsid w:val="009F7D7C"/>
    <w:rsid w:val="00A003C0"/>
    <w:rsid w:val="00A009C0"/>
    <w:rsid w:val="00A00C62"/>
    <w:rsid w:val="00A011F0"/>
    <w:rsid w:val="00A01B55"/>
    <w:rsid w:val="00A0256B"/>
    <w:rsid w:val="00A027E8"/>
    <w:rsid w:val="00A02812"/>
    <w:rsid w:val="00A02841"/>
    <w:rsid w:val="00A032C7"/>
    <w:rsid w:val="00A03AD2"/>
    <w:rsid w:val="00A03CFF"/>
    <w:rsid w:val="00A03E70"/>
    <w:rsid w:val="00A044C3"/>
    <w:rsid w:val="00A0474C"/>
    <w:rsid w:val="00A0563F"/>
    <w:rsid w:val="00A05D6C"/>
    <w:rsid w:val="00A07064"/>
    <w:rsid w:val="00A07205"/>
    <w:rsid w:val="00A0797E"/>
    <w:rsid w:val="00A103FC"/>
    <w:rsid w:val="00A1067E"/>
    <w:rsid w:val="00A10692"/>
    <w:rsid w:val="00A10854"/>
    <w:rsid w:val="00A10DBA"/>
    <w:rsid w:val="00A10EF7"/>
    <w:rsid w:val="00A11402"/>
    <w:rsid w:val="00A11908"/>
    <w:rsid w:val="00A1292F"/>
    <w:rsid w:val="00A12D71"/>
    <w:rsid w:val="00A12DED"/>
    <w:rsid w:val="00A1342C"/>
    <w:rsid w:val="00A135DA"/>
    <w:rsid w:val="00A1374B"/>
    <w:rsid w:val="00A14125"/>
    <w:rsid w:val="00A14176"/>
    <w:rsid w:val="00A149A7"/>
    <w:rsid w:val="00A14B52"/>
    <w:rsid w:val="00A14FE0"/>
    <w:rsid w:val="00A158EF"/>
    <w:rsid w:val="00A15FD2"/>
    <w:rsid w:val="00A16149"/>
    <w:rsid w:val="00A161DA"/>
    <w:rsid w:val="00A16607"/>
    <w:rsid w:val="00A16742"/>
    <w:rsid w:val="00A167F6"/>
    <w:rsid w:val="00A16834"/>
    <w:rsid w:val="00A17471"/>
    <w:rsid w:val="00A179B4"/>
    <w:rsid w:val="00A179F5"/>
    <w:rsid w:val="00A17FE9"/>
    <w:rsid w:val="00A2040B"/>
    <w:rsid w:val="00A20AAE"/>
    <w:rsid w:val="00A20EA8"/>
    <w:rsid w:val="00A2119F"/>
    <w:rsid w:val="00A21AD7"/>
    <w:rsid w:val="00A224D2"/>
    <w:rsid w:val="00A229A3"/>
    <w:rsid w:val="00A22A14"/>
    <w:rsid w:val="00A22CA5"/>
    <w:rsid w:val="00A2316E"/>
    <w:rsid w:val="00A23432"/>
    <w:rsid w:val="00A23C29"/>
    <w:rsid w:val="00A240E2"/>
    <w:rsid w:val="00A242C5"/>
    <w:rsid w:val="00A242E3"/>
    <w:rsid w:val="00A2430E"/>
    <w:rsid w:val="00A24556"/>
    <w:rsid w:val="00A249CE"/>
    <w:rsid w:val="00A24D27"/>
    <w:rsid w:val="00A24F90"/>
    <w:rsid w:val="00A25104"/>
    <w:rsid w:val="00A257A2"/>
    <w:rsid w:val="00A26101"/>
    <w:rsid w:val="00A26233"/>
    <w:rsid w:val="00A266C6"/>
    <w:rsid w:val="00A267A7"/>
    <w:rsid w:val="00A26A78"/>
    <w:rsid w:val="00A26AC2"/>
    <w:rsid w:val="00A26EB3"/>
    <w:rsid w:val="00A27026"/>
    <w:rsid w:val="00A27379"/>
    <w:rsid w:val="00A2789A"/>
    <w:rsid w:val="00A279EC"/>
    <w:rsid w:val="00A27E64"/>
    <w:rsid w:val="00A30017"/>
    <w:rsid w:val="00A3002E"/>
    <w:rsid w:val="00A30A94"/>
    <w:rsid w:val="00A30E4E"/>
    <w:rsid w:val="00A30EA0"/>
    <w:rsid w:val="00A30F69"/>
    <w:rsid w:val="00A31269"/>
    <w:rsid w:val="00A3160A"/>
    <w:rsid w:val="00A31654"/>
    <w:rsid w:val="00A31F49"/>
    <w:rsid w:val="00A32826"/>
    <w:rsid w:val="00A3295C"/>
    <w:rsid w:val="00A32A9E"/>
    <w:rsid w:val="00A32DDC"/>
    <w:rsid w:val="00A32EDA"/>
    <w:rsid w:val="00A3344C"/>
    <w:rsid w:val="00A344A3"/>
    <w:rsid w:val="00A34554"/>
    <w:rsid w:val="00A35034"/>
    <w:rsid w:val="00A350BF"/>
    <w:rsid w:val="00A350F5"/>
    <w:rsid w:val="00A353BF"/>
    <w:rsid w:val="00A35CA0"/>
    <w:rsid w:val="00A35DB8"/>
    <w:rsid w:val="00A35E3C"/>
    <w:rsid w:val="00A36320"/>
    <w:rsid w:val="00A3682E"/>
    <w:rsid w:val="00A368A6"/>
    <w:rsid w:val="00A368FC"/>
    <w:rsid w:val="00A369CA"/>
    <w:rsid w:val="00A36F5A"/>
    <w:rsid w:val="00A37236"/>
    <w:rsid w:val="00A372F5"/>
    <w:rsid w:val="00A376F0"/>
    <w:rsid w:val="00A37954"/>
    <w:rsid w:val="00A379B1"/>
    <w:rsid w:val="00A4004C"/>
    <w:rsid w:val="00A40737"/>
    <w:rsid w:val="00A40E89"/>
    <w:rsid w:val="00A4138E"/>
    <w:rsid w:val="00A418C1"/>
    <w:rsid w:val="00A418FD"/>
    <w:rsid w:val="00A41D6E"/>
    <w:rsid w:val="00A420D2"/>
    <w:rsid w:val="00A4233A"/>
    <w:rsid w:val="00A42C2A"/>
    <w:rsid w:val="00A42D9E"/>
    <w:rsid w:val="00A438FF"/>
    <w:rsid w:val="00A43B7A"/>
    <w:rsid w:val="00A43F96"/>
    <w:rsid w:val="00A44263"/>
    <w:rsid w:val="00A44581"/>
    <w:rsid w:val="00A44770"/>
    <w:rsid w:val="00A4527C"/>
    <w:rsid w:val="00A4597E"/>
    <w:rsid w:val="00A45E33"/>
    <w:rsid w:val="00A464F1"/>
    <w:rsid w:val="00A4670C"/>
    <w:rsid w:val="00A46E85"/>
    <w:rsid w:val="00A46FF5"/>
    <w:rsid w:val="00A471F5"/>
    <w:rsid w:val="00A474B3"/>
    <w:rsid w:val="00A479A9"/>
    <w:rsid w:val="00A47BD8"/>
    <w:rsid w:val="00A47F3A"/>
    <w:rsid w:val="00A5080B"/>
    <w:rsid w:val="00A5158C"/>
    <w:rsid w:val="00A515E6"/>
    <w:rsid w:val="00A520C7"/>
    <w:rsid w:val="00A52485"/>
    <w:rsid w:val="00A52F79"/>
    <w:rsid w:val="00A53998"/>
    <w:rsid w:val="00A53D28"/>
    <w:rsid w:val="00A53D51"/>
    <w:rsid w:val="00A542F1"/>
    <w:rsid w:val="00A55CEB"/>
    <w:rsid w:val="00A5615F"/>
    <w:rsid w:val="00A56236"/>
    <w:rsid w:val="00A5688C"/>
    <w:rsid w:val="00A57573"/>
    <w:rsid w:val="00A57988"/>
    <w:rsid w:val="00A57E8A"/>
    <w:rsid w:val="00A601C3"/>
    <w:rsid w:val="00A606A2"/>
    <w:rsid w:val="00A60814"/>
    <w:rsid w:val="00A60C5B"/>
    <w:rsid w:val="00A60CFB"/>
    <w:rsid w:val="00A60E81"/>
    <w:rsid w:val="00A62053"/>
    <w:rsid w:val="00A62116"/>
    <w:rsid w:val="00A62819"/>
    <w:rsid w:val="00A6294C"/>
    <w:rsid w:val="00A62A03"/>
    <w:rsid w:val="00A62AE4"/>
    <w:rsid w:val="00A62D03"/>
    <w:rsid w:val="00A63175"/>
    <w:rsid w:val="00A634FB"/>
    <w:rsid w:val="00A636B5"/>
    <w:rsid w:val="00A63BBB"/>
    <w:rsid w:val="00A63BEE"/>
    <w:rsid w:val="00A63D57"/>
    <w:rsid w:val="00A6431A"/>
    <w:rsid w:val="00A64460"/>
    <w:rsid w:val="00A647D0"/>
    <w:rsid w:val="00A64B52"/>
    <w:rsid w:val="00A65166"/>
    <w:rsid w:val="00A651BD"/>
    <w:rsid w:val="00A65B4D"/>
    <w:rsid w:val="00A663B3"/>
    <w:rsid w:val="00A66BE6"/>
    <w:rsid w:val="00A66DFC"/>
    <w:rsid w:val="00A6750D"/>
    <w:rsid w:val="00A67B82"/>
    <w:rsid w:val="00A67CC2"/>
    <w:rsid w:val="00A67F89"/>
    <w:rsid w:val="00A70FAD"/>
    <w:rsid w:val="00A714FE"/>
    <w:rsid w:val="00A71C29"/>
    <w:rsid w:val="00A71CF8"/>
    <w:rsid w:val="00A71FD4"/>
    <w:rsid w:val="00A729BB"/>
    <w:rsid w:val="00A72E74"/>
    <w:rsid w:val="00A734E0"/>
    <w:rsid w:val="00A7386D"/>
    <w:rsid w:val="00A73BB5"/>
    <w:rsid w:val="00A744DD"/>
    <w:rsid w:val="00A74636"/>
    <w:rsid w:val="00A75AD6"/>
    <w:rsid w:val="00A75C45"/>
    <w:rsid w:val="00A75E6F"/>
    <w:rsid w:val="00A76228"/>
    <w:rsid w:val="00A7647B"/>
    <w:rsid w:val="00A764C3"/>
    <w:rsid w:val="00A76784"/>
    <w:rsid w:val="00A767A1"/>
    <w:rsid w:val="00A76D7E"/>
    <w:rsid w:val="00A76E08"/>
    <w:rsid w:val="00A76EA3"/>
    <w:rsid w:val="00A7751E"/>
    <w:rsid w:val="00A77CC0"/>
    <w:rsid w:val="00A801C9"/>
    <w:rsid w:val="00A806A8"/>
    <w:rsid w:val="00A8109D"/>
    <w:rsid w:val="00A8159E"/>
    <w:rsid w:val="00A818AD"/>
    <w:rsid w:val="00A81CAF"/>
    <w:rsid w:val="00A81F7D"/>
    <w:rsid w:val="00A8248E"/>
    <w:rsid w:val="00A82A54"/>
    <w:rsid w:val="00A83229"/>
    <w:rsid w:val="00A833AB"/>
    <w:rsid w:val="00A8365B"/>
    <w:rsid w:val="00A8387F"/>
    <w:rsid w:val="00A83F82"/>
    <w:rsid w:val="00A84344"/>
    <w:rsid w:val="00A846DF"/>
    <w:rsid w:val="00A84935"/>
    <w:rsid w:val="00A85977"/>
    <w:rsid w:val="00A85B2F"/>
    <w:rsid w:val="00A85C01"/>
    <w:rsid w:val="00A86087"/>
    <w:rsid w:val="00A86217"/>
    <w:rsid w:val="00A8697F"/>
    <w:rsid w:val="00A86A3C"/>
    <w:rsid w:val="00A86FDB"/>
    <w:rsid w:val="00A8709B"/>
    <w:rsid w:val="00A87231"/>
    <w:rsid w:val="00A8728C"/>
    <w:rsid w:val="00A87359"/>
    <w:rsid w:val="00A87490"/>
    <w:rsid w:val="00A8763E"/>
    <w:rsid w:val="00A87ADA"/>
    <w:rsid w:val="00A87DEA"/>
    <w:rsid w:val="00A87E1B"/>
    <w:rsid w:val="00A906CB"/>
    <w:rsid w:val="00A90C34"/>
    <w:rsid w:val="00A90F8D"/>
    <w:rsid w:val="00A91140"/>
    <w:rsid w:val="00A911EC"/>
    <w:rsid w:val="00A91362"/>
    <w:rsid w:val="00A91938"/>
    <w:rsid w:val="00A91B26"/>
    <w:rsid w:val="00A91EB3"/>
    <w:rsid w:val="00A92A17"/>
    <w:rsid w:val="00A93300"/>
    <w:rsid w:val="00A93724"/>
    <w:rsid w:val="00A93ACC"/>
    <w:rsid w:val="00A94108"/>
    <w:rsid w:val="00A94122"/>
    <w:rsid w:val="00A9420B"/>
    <w:rsid w:val="00A94B50"/>
    <w:rsid w:val="00A94EA6"/>
    <w:rsid w:val="00A951B8"/>
    <w:rsid w:val="00A95B1D"/>
    <w:rsid w:val="00A95C17"/>
    <w:rsid w:val="00A9663A"/>
    <w:rsid w:val="00A96729"/>
    <w:rsid w:val="00A96883"/>
    <w:rsid w:val="00A9698A"/>
    <w:rsid w:val="00A969AE"/>
    <w:rsid w:val="00A96A57"/>
    <w:rsid w:val="00A979FD"/>
    <w:rsid w:val="00A97C3D"/>
    <w:rsid w:val="00A97E77"/>
    <w:rsid w:val="00AA0392"/>
    <w:rsid w:val="00AA121A"/>
    <w:rsid w:val="00AA1329"/>
    <w:rsid w:val="00AA1534"/>
    <w:rsid w:val="00AA168D"/>
    <w:rsid w:val="00AA1804"/>
    <w:rsid w:val="00AA1863"/>
    <w:rsid w:val="00AA2167"/>
    <w:rsid w:val="00AA2649"/>
    <w:rsid w:val="00AA2DDF"/>
    <w:rsid w:val="00AA323F"/>
    <w:rsid w:val="00AA3290"/>
    <w:rsid w:val="00AA3BFF"/>
    <w:rsid w:val="00AA3E35"/>
    <w:rsid w:val="00AA3F9F"/>
    <w:rsid w:val="00AA449A"/>
    <w:rsid w:val="00AA4984"/>
    <w:rsid w:val="00AA516D"/>
    <w:rsid w:val="00AA5814"/>
    <w:rsid w:val="00AA5E41"/>
    <w:rsid w:val="00AA5EBF"/>
    <w:rsid w:val="00AA5EDA"/>
    <w:rsid w:val="00AA5FF7"/>
    <w:rsid w:val="00AA6849"/>
    <w:rsid w:val="00AA6A0E"/>
    <w:rsid w:val="00AA6B36"/>
    <w:rsid w:val="00AA6E2E"/>
    <w:rsid w:val="00AA701F"/>
    <w:rsid w:val="00AA75D0"/>
    <w:rsid w:val="00AA794E"/>
    <w:rsid w:val="00AA7CED"/>
    <w:rsid w:val="00AB04AD"/>
    <w:rsid w:val="00AB079F"/>
    <w:rsid w:val="00AB08B2"/>
    <w:rsid w:val="00AB0FBC"/>
    <w:rsid w:val="00AB100C"/>
    <w:rsid w:val="00AB12AD"/>
    <w:rsid w:val="00AB15C0"/>
    <w:rsid w:val="00AB1906"/>
    <w:rsid w:val="00AB1DB7"/>
    <w:rsid w:val="00AB206E"/>
    <w:rsid w:val="00AB2188"/>
    <w:rsid w:val="00AB295E"/>
    <w:rsid w:val="00AB2CC2"/>
    <w:rsid w:val="00AB2DE2"/>
    <w:rsid w:val="00AB357C"/>
    <w:rsid w:val="00AB38E1"/>
    <w:rsid w:val="00AB3D84"/>
    <w:rsid w:val="00AB4009"/>
    <w:rsid w:val="00AB45AC"/>
    <w:rsid w:val="00AB4632"/>
    <w:rsid w:val="00AB471D"/>
    <w:rsid w:val="00AB4A36"/>
    <w:rsid w:val="00AB4BBB"/>
    <w:rsid w:val="00AB4DE0"/>
    <w:rsid w:val="00AB4E49"/>
    <w:rsid w:val="00AB4FA9"/>
    <w:rsid w:val="00AB510C"/>
    <w:rsid w:val="00AB535B"/>
    <w:rsid w:val="00AB58E2"/>
    <w:rsid w:val="00AB594D"/>
    <w:rsid w:val="00AB5BC2"/>
    <w:rsid w:val="00AB5F8C"/>
    <w:rsid w:val="00AB6143"/>
    <w:rsid w:val="00AB6326"/>
    <w:rsid w:val="00AB6DA9"/>
    <w:rsid w:val="00AB742E"/>
    <w:rsid w:val="00AB7479"/>
    <w:rsid w:val="00AB76CD"/>
    <w:rsid w:val="00AC0020"/>
    <w:rsid w:val="00AC037C"/>
    <w:rsid w:val="00AC0CE7"/>
    <w:rsid w:val="00AC0DBC"/>
    <w:rsid w:val="00AC1012"/>
    <w:rsid w:val="00AC1026"/>
    <w:rsid w:val="00AC11AA"/>
    <w:rsid w:val="00AC1D6E"/>
    <w:rsid w:val="00AC1F1E"/>
    <w:rsid w:val="00AC24AE"/>
    <w:rsid w:val="00AC28C1"/>
    <w:rsid w:val="00AC29AB"/>
    <w:rsid w:val="00AC2D9B"/>
    <w:rsid w:val="00AC2F85"/>
    <w:rsid w:val="00AC3317"/>
    <w:rsid w:val="00AC4563"/>
    <w:rsid w:val="00AC459F"/>
    <w:rsid w:val="00AC4B74"/>
    <w:rsid w:val="00AC5677"/>
    <w:rsid w:val="00AC590E"/>
    <w:rsid w:val="00AC5EB9"/>
    <w:rsid w:val="00AC5EE5"/>
    <w:rsid w:val="00AC5F8B"/>
    <w:rsid w:val="00AC6638"/>
    <w:rsid w:val="00AC684C"/>
    <w:rsid w:val="00AC691A"/>
    <w:rsid w:val="00AC6AF4"/>
    <w:rsid w:val="00AC6F4E"/>
    <w:rsid w:val="00AC75F0"/>
    <w:rsid w:val="00AC76F8"/>
    <w:rsid w:val="00AC7A91"/>
    <w:rsid w:val="00AD08BF"/>
    <w:rsid w:val="00AD09DD"/>
    <w:rsid w:val="00AD0CFD"/>
    <w:rsid w:val="00AD0D2F"/>
    <w:rsid w:val="00AD1992"/>
    <w:rsid w:val="00AD2994"/>
    <w:rsid w:val="00AD3915"/>
    <w:rsid w:val="00AD3E10"/>
    <w:rsid w:val="00AD3E62"/>
    <w:rsid w:val="00AD3FAB"/>
    <w:rsid w:val="00AD4210"/>
    <w:rsid w:val="00AD431C"/>
    <w:rsid w:val="00AD4398"/>
    <w:rsid w:val="00AD47E6"/>
    <w:rsid w:val="00AD4807"/>
    <w:rsid w:val="00AD4C12"/>
    <w:rsid w:val="00AD4CA3"/>
    <w:rsid w:val="00AD520E"/>
    <w:rsid w:val="00AD536B"/>
    <w:rsid w:val="00AD59D7"/>
    <w:rsid w:val="00AD6526"/>
    <w:rsid w:val="00AD6C8F"/>
    <w:rsid w:val="00AD70F8"/>
    <w:rsid w:val="00AD790F"/>
    <w:rsid w:val="00AE0944"/>
    <w:rsid w:val="00AE0F01"/>
    <w:rsid w:val="00AE12D8"/>
    <w:rsid w:val="00AE131A"/>
    <w:rsid w:val="00AE1F78"/>
    <w:rsid w:val="00AE2169"/>
    <w:rsid w:val="00AE25A0"/>
    <w:rsid w:val="00AE2609"/>
    <w:rsid w:val="00AE26CB"/>
    <w:rsid w:val="00AE2B7B"/>
    <w:rsid w:val="00AE3136"/>
    <w:rsid w:val="00AE32D0"/>
    <w:rsid w:val="00AE3B14"/>
    <w:rsid w:val="00AE3C60"/>
    <w:rsid w:val="00AE3CC1"/>
    <w:rsid w:val="00AE40F2"/>
    <w:rsid w:val="00AE42CA"/>
    <w:rsid w:val="00AE4867"/>
    <w:rsid w:val="00AE4B99"/>
    <w:rsid w:val="00AE4DE0"/>
    <w:rsid w:val="00AE501A"/>
    <w:rsid w:val="00AE55C8"/>
    <w:rsid w:val="00AE571A"/>
    <w:rsid w:val="00AE5869"/>
    <w:rsid w:val="00AE5FD2"/>
    <w:rsid w:val="00AE61B4"/>
    <w:rsid w:val="00AE67C4"/>
    <w:rsid w:val="00AE6916"/>
    <w:rsid w:val="00AE6F26"/>
    <w:rsid w:val="00AE7CE1"/>
    <w:rsid w:val="00AF045F"/>
    <w:rsid w:val="00AF0888"/>
    <w:rsid w:val="00AF0C5F"/>
    <w:rsid w:val="00AF0FDE"/>
    <w:rsid w:val="00AF1212"/>
    <w:rsid w:val="00AF13B9"/>
    <w:rsid w:val="00AF1451"/>
    <w:rsid w:val="00AF151A"/>
    <w:rsid w:val="00AF1558"/>
    <w:rsid w:val="00AF1589"/>
    <w:rsid w:val="00AF18B3"/>
    <w:rsid w:val="00AF18DA"/>
    <w:rsid w:val="00AF2605"/>
    <w:rsid w:val="00AF2AA7"/>
    <w:rsid w:val="00AF3308"/>
    <w:rsid w:val="00AF33C8"/>
    <w:rsid w:val="00AF33EB"/>
    <w:rsid w:val="00AF34DC"/>
    <w:rsid w:val="00AF3CF4"/>
    <w:rsid w:val="00AF4940"/>
    <w:rsid w:val="00AF4B48"/>
    <w:rsid w:val="00AF4EBF"/>
    <w:rsid w:val="00AF4EE6"/>
    <w:rsid w:val="00AF503A"/>
    <w:rsid w:val="00AF54F7"/>
    <w:rsid w:val="00AF5973"/>
    <w:rsid w:val="00AF5E49"/>
    <w:rsid w:val="00AF5EE8"/>
    <w:rsid w:val="00AF60A7"/>
    <w:rsid w:val="00AF6164"/>
    <w:rsid w:val="00AF6396"/>
    <w:rsid w:val="00AF6AAC"/>
    <w:rsid w:val="00AF6C5F"/>
    <w:rsid w:val="00AF77F0"/>
    <w:rsid w:val="00B0052E"/>
    <w:rsid w:val="00B005C9"/>
    <w:rsid w:val="00B00FBD"/>
    <w:rsid w:val="00B012B5"/>
    <w:rsid w:val="00B013D8"/>
    <w:rsid w:val="00B017C1"/>
    <w:rsid w:val="00B01EF1"/>
    <w:rsid w:val="00B024B3"/>
    <w:rsid w:val="00B027E0"/>
    <w:rsid w:val="00B0345E"/>
    <w:rsid w:val="00B0359B"/>
    <w:rsid w:val="00B035A2"/>
    <w:rsid w:val="00B0395F"/>
    <w:rsid w:val="00B03AFE"/>
    <w:rsid w:val="00B03BB4"/>
    <w:rsid w:val="00B046AF"/>
    <w:rsid w:val="00B04CE2"/>
    <w:rsid w:val="00B04CF1"/>
    <w:rsid w:val="00B04DA3"/>
    <w:rsid w:val="00B04EA5"/>
    <w:rsid w:val="00B05320"/>
    <w:rsid w:val="00B05B59"/>
    <w:rsid w:val="00B05D97"/>
    <w:rsid w:val="00B05E78"/>
    <w:rsid w:val="00B0606C"/>
    <w:rsid w:val="00B062DD"/>
    <w:rsid w:val="00B06440"/>
    <w:rsid w:val="00B0647A"/>
    <w:rsid w:val="00B06717"/>
    <w:rsid w:val="00B0683F"/>
    <w:rsid w:val="00B06863"/>
    <w:rsid w:val="00B06A0E"/>
    <w:rsid w:val="00B06A9D"/>
    <w:rsid w:val="00B0771A"/>
    <w:rsid w:val="00B077D7"/>
    <w:rsid w:val="00B077FB"/>
    <w:rsid w:val="00B10936"/>
    <w:rsid w:val="00B10BDF"/>
    <w:rsid w:val="00B10D64"/>
    <w:rsid w:val="00B10DE9"/>
    <w:rsid w:val="00B1197E"/>
    <w:rsid w:val="00B120A5"/>
    <w:rsid w:val="00B125C4"/>
    <w:rsid w:val="00B125D0"/>
    <w:rsid w:val="00B125D2"/>
    <w:rsid w:val="00B125D9"/>
    <w:rsid w:val="00B12A2A"/>
    <w:rsid w:val="00B133D7"/>
    <w:rsid w:val="00B134EE"/>
    <w:rsid w:val="00B13783"/>
    <w:rsid w:val="00B139A9"/>
    <w:rsid w:val="00B13B4E"/>
    <w:rsid w:val="00B13DA4"/>
    <w:rsid w:val="00B14049"/>
    <w:rsid w:val="00B1410E"/>
    <w:rsid w:val="00B146E6"/>
    <w:rsid w:val="00B148FA"/>
    <w:rsid w:val="00B14AB0"/>
    <w:rsid w:val="00B14FE9"/>
    <w:rsid w:val="00B154B1"/>
    <w:rsid w:val="00B155B7"/>
    <w:rsid w:val="00B15902"/>
    <w:rsid w:val="00B15A9F"/>
    <w:rsid w:val="00B15D0B"/>
    <w:rsid w:val="00B15D99"/>
    <w:rsid w:val="00B15F6E"/>
    <w:rsid w:val="00B16A2D"/>
    <w:rsid w:val="00B16D2D"/>
    <w:rsid w:val="00B16F9F"/>
    <w:rsid w:val="00B17158"/>
    <w:rsid w:val="00B174B7"/>
    <w:rsid w:val="00B17583"/>
    <w:rsid w:val="00B17777"/>
    <w:rsid w:val="00B178A2"/>
    <w:rsid w:val="00B178CC"/>
    <w:rsid w:val="00B17CFA"/>
    <w:rsid w:val="00B17D54"/>
    <w:rsid w:val="00B17F5D"/>
    <w:rsid w:val="00B202E9"/>
    <w:rsid w:val="00B20333"/>
    <w:rsid w:val="00B20565"/>
    <w:rsid w:val="00B20619"/>
    <w:rsid w:val="00B206EA"/>
    <w:rsid w:val="00B2075D"/>
    <w:rsid w:val="00B209BE"/>
    <w:rsid w:val="00B20CAA"/>
    <w:rsid w:val="00B20F98"/>
    <w:rsid w:val="00B21B49"/>
    <w:rsid w:val="00B22026"/>
    <w:rsid w:val="00B22C16"/>
    <w:rsid w:val="00B22D7F"/>
    <w:rsid w:val="00B22E28"/>
    <w:rsid w:val="00B23775"/>
    <w:rsid w:val="00B23790"/>
    <w:rsid w:val="00B239B4"/>
    <w:rsid w:val="00B23B79"/>
    <w:rsid w:val="00B242CF"/>
    <w:rsid w:val="00B24365"/>
    <w:rsid w:val="00B246C5"/>
    <w:rsid w:val="00B249BB"/>
    <w:rsid w:val="00B24C59"/>
    <w:rsid w:val="00B24DE0"/>
    <w:rsid w:val="00B252FC"/>
    <w:rsid w:val="00B25442"/>
    <w:rsid w:val="00B26118"/>
    <w:rsid w:val="00B263CA"/>
    <w:rsid w:val="00B2652C"/>
    <w:rsid w:val="00B265FE"/>
    <w:rsid w:val="00B2674C"/>
    <w:rsid w:val="00B269B1"/>
    <w:rsid w:val="00B2727E"/>
    <w:rsid w:val="00B27308"/>
    <w:rsid w:val="00B2758E"/>
    <w:rsid w:val="00B27617"/>
    <w:rsid w:val="00B27C99"/>
    <w:rsid w:val="00B3014A"/>
    <w:rsid w:val="00B30590"/>
    <w:rsid w:val="00B305C0"/>
    <w:rsid w:val="00B30600"/>
    <w:rsid w:val="00B306F7"/>
    <w:rsid w:val="00B30DD9"/>
    <w:rsid w:val="00B310B9"/>
    <w:rsid w:val="00B310DC"/>
    <w:rsid w:val="00B3125D"/>
    <w:rsid w:val="00B316D7"/>
    <w:rsid w:val="00B3170E"/>
    <w:rsid w:val="00B317DF"/>
    <w:rsid w:val="00B31A76"/>
    <w:rsid w:val="00B31BFD"/>
    <w:rsid w:val="00B31D5F"/>
    <w:rsid w:val="00B321D7"/>
    <w:rsid w:val="00B32323"/>
    <w:rsid w:val="00B324EB"/>
    <w:rsid w:val="00B3288B"/>
    <w:rsid w:val="00B32F50"/>
    <w:rsid w:val="00B331AC"/>
    <w:rsid w:val="00B3329C"/>
    <w:rsid w:val="00B334A3"/>
    <w:rsid w:val="00B3447B"/>
    <w:rsid w:val="00B34843"/>
    <w:rsid w:val="00B36B09"/>
    <w:rsid w:val="00B36B73"/>
    <w:rsid w:val="00B36B75"/>
    <w:rsid w:val="00B36C3D"/>
    <w:rsid w:val="00B36FA4"/>
    <w:rsid w:val="00B37358"/>
    <w:rsid w:val="00B37900"/>
    <w:rsid w:val="00B40049"/>
    <w:rsid w:val="00B40070"/>
    <w:rsid w:val="00B40508"/>
    <w:rsid w:val="00B40884"/>
    <w:rsid w:val="00B40E39"/>
    <w:rsid w:val="00B412C5"/>
    <w:rsid w:val="00B41550"/>
    <w:rsid w:val="00B41E3C"/>
    <w:rsid w:val="00B4206E"/>
    <w:rsid w:val="00B421D3"/>
    <w:rsid w:val="00B42D52"/>
    <w:rsid w:val="00B42E78"/>
    <w:rsid w:val="00B42E7D"/>
    <w:rsid w:val="00B4319C"/>
    <w:rsid w:val="00B4335D"/>
    <w:rsid w:val="00B43529"/>
    <w:rsid w:val="00B4375E"/>
    <w:rsid w:val="00B437C0"/>
    <w:rsid w:val="00B43B94"/>
    <w:rsid w:val="00B43D07"/>
    <w:rsid w:val="00B43EC1"/>
    <w:rsid w:val="00B44D7B"/>
    <w:rsid w:val="00B45674"/>
    <w:rsid w:val="00B4571B"/>
    <w:rsid w:val="00B45B0D"/>
    <w:rsid w:val="00B45BDB"/>
    <w:rsid w:val="00B466A4"/>
    <w:rsid w:val="00B4675A"/>
    <w:rsid w:val="00B46C90"/>
    <w:rsid w:val="00B46CBB"/>
    <w:rsid w:val="00B47225"/>
    <w:rsid w:val="00B47256"/>
    <w:rsid w:val="00B47AD6"/>
    <w:rsid w:val="00B5089C"/>
    <w:rsid w:val="00B50918"/>
    <w:rsid w:val="00B50BED"/>
    <w:rsid w:val="00B50CC7"/>
    <w:rsid w:val="00B51B47"/>
    <w:rsid w:val="00B52003"/>
    <w:rsid w:val="00B527CA"/>
    <w:rsid w:val="00B528B8"/>
    <w:rsid w:val="00B52B0D"/>
    <w:rsid w:val="00B5314C"/>
    <w:rsid w:val="00B53213"/>
    <w:rsid w:val="00B53AD7"/>
    <w:rsid w:val="00B53EC8"/>
    <w:rsid w:val="00B53F63"/>
    <w:rsid w:val="00B541F8"/>
    <w:rsid w:val="00B54BFD"/>
    <w:rsid w:val="00B55578"/>
    <w:rsid w:val="00B5568A"/>
    <w:rsid w:val="00B55BD0"/>
    <w:rsid w:val="00B55C09"/>
    <w:rsid w:val="00B55F26"/>
    <w:rsid w:val="00B564D0"/>
    <w:rsid w:val="00B56F19"/>
    <w:rsid w:val="00B57029"/>
    <w:rsid w:val="00B5736C"/>
    <w:rsid w:val="00B5752E"/>
    <w:rsid w:val="00B57E84"/>
    <w:rsid w:val="00B60BC9"/>
    <w:rsid w:val="00B61020"/>
    <w:rsid w:val="00B61BB8"/>
    <w:rsid w:val="00B61E73"/>
    <w:rsid w:val="00B61E8B"/>
    <w:rsid w:val="00B61FE7"/>
    <w:rsid w:val="00B62024"/>
    <w:rsid w:val="00B62C14"/>
    <w:rsid w:val="00B62E08"/>
    <w:rsid w:val="00B62F0F"/>
    <w:rsid w:val="00B63A03"/>
    <w:rsid w:val="00B64116"/>
    <w:rsid w:val="00B64565"/>
    <w:rsid w:val="00B646E0"/>
    <w:rsid w:val="00B64AA4"/>
    <w:rsid w:val="00B64F6E"/>
    <w:rsid w:val="00B65313"/>
    <w:rsid w:val="00B65FC8"/>
    <w:rsid w:val="00B66190"/>
    <w:rsid w:val="00B663CA"/>
    <w:rsid w:val="00B66708"/>
    <w:rsid w:val="00B66899"/>
    <w:rsid w:val="00B669F4"/>
    <w:rsid w:val="00B66E44"/>
    <w:rsid w:val="00B66F15"/>
    <w:rsid w:val="00B6700F"/>
    <w:rsid w:val="00B671C3"/>
    <w:rsid w:val="00B6737B"/>
    <w:rsid w:val="00B67A98"/>
    <w:rsid w:val="00B67BEC"/>
    <w:rsid w:val="00B67C7D"/>
    <w:rsid w:val="00B705AF"/>
    <w:rsid w:val="00B708BF"/>
    <w:rsid w:val="00B70C5E"/>
    <w:rsid w:val="00B71273"/>
    <w:rsid w:val="00B71589"/>
    <w:rsid w:val="00B71880"/>
    <w:rsid w:val="00B719BF"/>
    <w:rsid w:val="00B72165"/>
    <w:rsid w:val="00B72BF8"/>
    <w:rsid w:val="00B72FB2"/>
    <w:rsid w:val="00B73B1D"/>
    <w:rsid w:val="00B7432B"/>
    <w:rsid w:val="00B74A61"/>
    <w:rsid w:val="00B74DBB"/>
    <w:rsid w:val="00B75C00"/>
    <w:rsid w:val="00B763FD"/>
    <w:rsid w:val="00B76A47"/>
    <w:rsid w:val="00B76BEC"/>
    <w:rsid w:val="00B76F03"/>
    <w:rsid w:val="00B7716D"/>
    <w:rsid w:val="00B777B0"/>
    <w:rsid w:val="00B777C8"/>
    <w:rsid w:val="00B77C02"/>
    <w:rsid w:val="00B8028C"/>
    <w:rsid w:val="00B80BAF"/>
    <w:rsid w:val="00B80F4A"/>
    <w:rsid w:val="00B812D8"/>
    <w:rsid w:val="00B81524"/>
    <w:rsid w:val="00B81843"/>
    <w:rsid w:val="00B81D7C"/>
    <w:rsid w:val="00B821E9"/>
    <w:rsid w:val="00B82F46"/>
    <w:rsid w:val="00B834C0"/>
    <w:rsid w:val="00B8419C"/>
    <w:rsid w:val="00B841EF"/>
    <w:rsid w:val="00B8452C"/>
    <w:rsid w:val="00B8488C"/>
    <w:rsid w:val="00B84D45"/>
    <w:rsid w:val="00B84D5E"/>
    <w:rsid w:val="00B84DCD"/>
    <w:rsid w:val="00B84E4A"/>
    <w:rsid w:val="00B85FCD"/>
    <w:rsid w:val="00B860C9"/>
    <w:rsid w:val="00B862D8"/>
    <w:rsid w:val="00B863C4"/>
    <w:rsid w:val="00B86930"/>
    <w:rsid w:val="00B86FD2"/>
    <w:rsid w:val="00B8727F"/>
    <w:rsid w:val="00B878B5"/>
    <w:rsid w:val="00B90E3A"/>
    <w:rsid w:val="00B90F94"/>
    <w:rsid w:val="00B910E2"/>
    <w:rsid w:val="00B91B10"/>
    <w:rsid w:val="00B91C7D"/>
    <w:rsid w:val="00B91CEF"/>
    <w:rsid w:val="00B926B6"/>
    <w:rsid w:val="00B92759"/>
    <w:rsid w:val="00B92E25"/>
    <w:rsid w:val="00B93248"/>
    <w:rsid w:val="00B93560"/>
    <w:rsid w:val="00B93D05"/>
    <w:rsid w:val="00B93FEA"/>
    <w:rsid w:val="00B94129"/>
    <w:rsid w:val="00B94523"/>
    <w:rsid w:val="00B94D05"/>
    <w:rsid w:val="00B94F15"/>
    <w:rsid w:val="00B94FA8"/>
    <w:rsid w:val="00B94FAB"/>
    <w:rsid w:val="00B95268"/>
    <w:rsid w:val="00B952C7"/>
    <w:rsid w:val="00B9532B"/>
    <w:rsid w:val="00B95816"/>
    <w:rsid w:val="00B95B2D"/>
    <w:rsid w:val="00B95E7C"/>
    <w:rsid w:val="00B96424"/>
    <w:rsid w:val="00B9680D"/>
    <w:rsid w:val="00B9682A"/>
    <w:rsid w:val="00B96A4B"/>
    <w:rsid w:val="00B96ADC"/>
    <w:rsid w:val="00B96E80"/>
    <w:rsid w:val="00B97216"/>
    <w:rsid w:val="00B97654"/>
    <w:rsid w:val="00B97E3A"/>
    <w:rsid w:val="00B97FDD"/>
    <w:rsid w:val="00BA0066"/>
    <w:rsid w:val="00BA0101"/>
    <w:rsid w:val="00BA0BA5"/>
    <w:rsid w:val="00BA0C6F"/>
    <w:rsid w:val="00BA1FCA"/>
    <w:rsid w:val="00BA21DA"/>
    <w:rsid w:val="00BA274B"/>
    <w:rsid w:val="00BA2A0D"/>
    <w:rsid w:val="00BA2BAF"/>
    <w:rsid w:val="00BA2D6E"/>
    <w:rsid w:val="00BA4108"/>
    <w:rsid w:val="00BA4134"/>
    <w:rsid w:val="00BA4198"/>
    <w:rsid w:val="00BA55DA"/>
    <w:rsid w:val="00BA570D"/>
    <w:rsid w:val="00BA57CD"/>
    <w:rsid w:val="00BA57E9"/>
    <w:rsid w:val="00BA5F81"/>
    <w:rsid w:val="00BA6119"/>
    <w:rsid w:val="00BA6124"/>
    <w:rsid w:val="00BA6745"/>
    <w:rsid w:val="00BA6CA4"/>
    <w:rsid w:val="00BA7000"/>
    <w:rsid w:val="00BA7208"/>
    <w:rsid w:val="00BA7C69"/>
    <w:rsid w:val="00BB00F6"/>
    <w:rsid w:val="00BB0A90"/>
    <w:rsid w:val="00BB0ACA"/>
    <w:rsid w:val="00BB14C2"/>
    <w:rsid w:val="00BB159E"/>
    <w:rsid w:val="00BB1ACD"/>
    <w:rsid w:val="00BB1D55"/>
    <w:rsid w:val="00BB1EBF"/>
    <w:rsid w:val="00BB2637"/>
    <w:rsid w:val="00BB26B4"/>
    <w:rsid w:val="00BB2816"/>
    <w:rsid w:val="00BB28CA"/>
    <w:rsid w:val="00BB29EB"/>
    <w:rsid w:val="00BB32F8"/>
    <w:rsid w:val="00BB3447"/>
    <w:rsid w:val="00BB34EB"/>
    <w:rsid w:val="00BB3679"/>
    <w:rsid w:val="00BB37D0"/>
    <w:rsid w:val="00BB3B12"/>
    <w:rsid w:val="00BB3BB7"/>
    <w:rsid w:val="00BB3FB4"/>
    <w:rsid w:val="00BB47C1"/>
    <w:rsid w:val="00BB4E95"/>
    <w:rsid w:val="00BB539B"/>
    <w:rsid w:val="00BB5AE3"/>
    <w:rsid w:val="00BB5C6D"/>
    <w:rsid w:val="00BB5D38"/>
    <w:rsid w:val="00BB63D9"/>
    <w:rsid w:val="00BB6474"/>
    <w:rsid w:val="00BB659E"/>
    <w:rsid w:val="00BB693E"/>
    <w:rsid w:val="00BB6950"/>
    <w:rsid w:val="00BB7829"/>
    <w:rsid w:val="00BB78B3"/>
    <w:rsid w:val="00BB7F1F"/>
    <w:rsid w:val="00BB7F4E"/>
    <w:rsid w:val="00BC00BF"/>
    <w:rsid w:val="00BC0249"/>
    <w:rsid w:val="00BC055D"/>
    <w:rsid w:val="00BC0931"/>
    <w:rsid w:val="00BC0B1D"/>
    <w:rsid w:val="00BC0DE2"/>
    <w:rsid w:val="00BC0F24"/>
    <w:rsid w:val="00BC1175"/>
    <w:rsid w:val="00BC12A3"/>
    <w:rsid w:val="00BC13C8"/>
    <w:rsid w:val="00BC17C1"/>
    <w:rsid w:val="00BC1903"/>
    <w:rsid w:val="00BC1B8E"/>
    <w:rsid w:val="00BC2316"/>
    <w:rsid w:val="00BC274E"/>
    <w:rsid w:val="00BC2FF3"/>
    <w:rsid w:val="00BC306E"/>
    <w:rsid w:val="00BC346C"/>
    <w:rsid w:val="00BC3607"/>
    <w:rsid w:val="00BC3E51"/>
    <w:rsid w:val="00BC3ED2"/>
    <w:rsid w:val="00BC43B4"/>
    <w:rsid w:val="00BC4BCD"/>
    <w:rsid w:val="00BC5180"/>
    <w:rsid w:val="00BC5454"/>
    <w:rsid w:val="00BC54B6"/>
    <w:rsid w:val="00BC55DE"/>
    <w:rsid w:val="00BC5BB2"/>
    <w:rsid w:val="00BC5E9A"/>
    <w:rsid w:val="00BC5EE0"/>
    <w:rsid w:val="00BC62CD"/>
    <w:rsid w:val="00BC67AB"/>
    <w:rsid w:val="00BC6E41"/>
    <w:rsid w:val="00BC72BA"/>
    <w:rsid w:val="00BC76CE"/>
    <w:rsid w:val="00BC79FE"/>
    <w:rsid w:val="00BC7B14"/>
    <w:rsid w:val="00BD008E"/>
    <w:rsid w:val="00BD00C7"/>
    <w:rsid w:val="00BD06CF"/>
    <w:rsid w:val="00BD154F"/>
    <w:rsid w:val="00BD17CA"/>
    <w:rsid w:val="00BD1B58"/>
    <w:rsid w:val="00BD20CD"/>
    <w:rsid w:val="00BD22DB"/>
    <w:rsid w:val="00BD3057"/>
    <w:rsid w:val="00BD3363"/>
    <w:rsid w:val="00BD3471"/>
    <w:rsid w:val="00BD3914"/>
    <w:rsid w:val="00BD3AF0"/>
    <w:rsid w:val="00BD470B"/>
    <w:rsid w:val="00BD4A52"/>
    <w:rsid w:val="00BD4BA4"/>
    <w:rsid w:val="00BD517F"/>
    <w:rsid w:val="00BD593D"/>
    <w:rsid w:val="00BD5B7C"/>
    <w:rsid w:val="00BD5C8E"/>
    <w:rsid w:val="00BD6043"/>
    <w:rsid w:val="00BD61CC"/>
    <w:rsid w:val="00BD64D3"/>
    <w:rsid w:val="00BD65A6"/>
    <w:rsid w:val="00BD6907"/>
    <w:rsid w:val="00BD6C92"/>
    <w:rsid w:val="00BD774F"/>
    <w:rsid w:val="00BD7FF1"/>
    <w:rsid w:val="00BE0825"/>
    <w:rsid w:val="00BE0844"/>
    <w:rsid w:val="00BE08B6"/>
    <w:rsid w:val="00BE08EB"/>
    <w:rsid w:val="00BE0B38"/>
    <w:rsid w:val="00BE0D16"/>
    <w:rsid w:val="00BE0FCD"/>
    <w:rsid w:val="00BE11A6"/>
    <w:rsid w:val="00BE15A5"/>
    <w:rsid w:val="00BE288C"/>
    <w:rsid w:val="00BE2DCE"/>
    <w:rsid w:val="00BE3316"/>
    <w:rsid w:val="00BE33C9"/>
    <w:rsid w:val="00BE3411"/>
    <w:rsid w:val="00BE35DA"/>
    <w:rsid w:val="00BE39C7"/>
    <w:rsid w:val="00BE3A9A"/>
    <w:rsid w:val="00BE3EA2"/>
    <w:rsid w:val="00BE4F60"/>
    <w:rsid w:val="00BE4FC5"/>
    <w:rsid w:val="00BE53CC"/>
    <w:rsid w:val="00BE56DC"/>
    <w:rsid w:val="00BE5D49"/>
    <w:rsid w:val="00BE5F1C"/>
    <w:rsid w:val="00BE6264"/>
    <w:rsid w:val="00BE6571"/>
    <w:rsid w:val="00BE660B"/>
    <w:rsid w:val="00BE69EC"/>
    <w:rsid w:val="00BE6B34"/>
    <w:rsid w:val="00BE6F9A"/>
    <w:rsid w:val="00BE7227"/>
    <w:rsid w:val="00BE73B7"/>
    <w:rsid w:val="00BE74E8"/>
    <w:rsid w:val="00BE7D96"/>
    <w:rsid w:val="00BE7FA4"/>
    <w:rsid w:val="00BF0342"/>
    <w:rsid w:val="00BF0375"/>
    <w:rsid w:val="00BF0629"/>
    <w:rsid w:val="00BF0D56"/>
    <w:rsid w:val="00BF0EC7"/>
    <w:rsid w:val="00BF0EF5"/>
    <w:rsid w:val="00BF11BA"/>
    <w:rsid w:val="00BF141F"/>
    <w:rsid w:val="00BF1643"/>
    <w:rsid w:val="00BF16E4"/>
    <w:rsid w:val="00BF1B16"/>
    <w:rsid w:val="00BF22A2"/>
    <w:rsid w:val="00BF2429"/>
    <w:rsid w:val="00BF2D81"/>
    <w:rsid w:val="00BF2FCB"/>
    <w:rsid w:val="00BF3004"/>
    <w:rsid w:val="00BF30BC"/>
    <w:rsid w:val="00BF3150"/>
    <w:rsid w:val="00BF32CA"/>
    <w:rsid w:val="00BF3342"/>
    <w:rsid w:val="00BF37B7"/>
    <w:rsid w:val="00BF38E1"/>
    <w:rsid w:val="00BF3AEB"/>
    <w:rsid w:val="00BF3C05"/>
    <w:rsid w:val="00BF3C8C"/>
    <w:rsid w:val="00BF3E8F"/>
    <w:rsid w:val="00BF3FBB"/>
    <w:rsid w:val="00BF420D"/>
    <w:rsid w:val="00BF4565"/>
    <w:rsid w:val="00BF46DF"/>
    <w:rsid w:val="00BF496F"/>
    <w:rsid w:val="00BF4AAA"/>
    <w:rsid w:val="00BF5ABC"/>
    <w:rsid w:val="00BF60F5"/>
    <w:rsid w:val="00BF6646"/>
    <w:rsid w:val="00BF6D6D"/>
    <w:rsid w:val="00BF7FCD"/>
    <w:rsid w:val="00C00117"/>
    <w:rsid w:val="00C00493"/>
    <w:rsid w:val="00C004BE"/>
    <w:rsid w:val="00C005B2"/>
    <w:rsid w:val="00C00D9F"/>
    <w:rsid w:val="00C00EA3"/>
    <w:rsid w:val="00C010F5"/>
    <w:rsid w:val="00C01954"/>
    <w:rsid w:val="00C0196D"/>
    <w:rsid w:val="00C02304"/>
    <w:rsid w:val="00C025A7"/>
    <w:rsid w:val="00C02864"/>
    <w:rsid w:val="00C02A2F"/>
    <w:rsid w:val="00C02E57"/>
    <w:rsid w:val="00C031D6"/>
    <w:rsid w:val="00C0323D"/>
    <w:rsid w:val="00C0343C"/>
    <w:rsid w:val="00C03445"/>
    <w:rsid w:val="00C034AD"/>
    <w:rsid w:val="00C037E6"/>
    <w:rsid w:val="00C03C81"/>
    <w:rsid w:val="00C040DF"/>
    <w:rsid w:val="00C04E00"/>
    <w:rsid w:val="00C05936"/>
    <w:rsid w:val="00C05D6A"/>
    <w:rsid w:val="00C05D9A"/>
    <w:rsid w:val="00C06673"/>
    <w:rsid w:val="00C06A75"/>
    <w:rsid w:val="00C06CC6"/>
    <w:rsid w:val="00C06E82"/>
    <w:rsid w:val="00C073A7"/>
    <w:rsid w:val="00C075FE"/>
    <w:rsid w:val="00C076BB"/>
    <w:rsid w:val="00C07989"/>
    <w:rsid w:val="00C07E3D"/>
    <w:rsid w:val="00C101F3"/>
    <w:rsid w:val="00C106B5"/>
    <w:rsid w:val="00C10924"/>
    <w:rsid w:val="00C10CB6"/>
    <w:rsid w:val="00C1149A"/>
    <w:rsid w:val="00C11654"/>
    <w:rsid w:val="00C118CF"/>
    <w:rsid w:val="00C123BB"/>
    <w:rsid w:val="00C1253A"/>
    <w:rsid w:val="00C12633"/>
    <w:rsid w:val="00C12A6B"/>
    <w:rsid w:val="00C12A80"/>
    <w:rsid w:val="00C12E54"/>
    <w:rsid w:val="00C13A07"/>
    <w:rsid w:val="00C13ADA"/>
    <w:rsid w:val="00C13C9C"/>
    <w:rsid w:val="00C13CC9"/>
    <w:rsid w:val="00C13D24"/>
    <w:rsid w:val="00C14116"/>
    <w:rsid w:val="00C14E7F"/>
    <w:rsid w:val="00C14E91"/>
    <w:rsid w:val="00C14F7D"/>
    <w:rsid w:val="00C15967"/>
    <w:rsid w:val="00C166B5"/>
    <w:rsid w:val="00C16A51"/>
    <w:rsid w:val="00C16CFD"/>
    <w:rsid w:val="00C1755E"/>
    <w:rsid w:val="00C176B2"/>
    <w:rsid w:val="00C17810"/>
    <w:rsid w:val="00C1793C"/>
    <w:rsid w:val="00C17F1B"/>
    <w:rsid w:val="00C20254"/>
    <w:rsid w:val="00C2036C"/>
    <w:rsid w:val="00C20FD0"/>
    <w:rsid w:val="00C21017"/>
    <w:rsid w:val="00C214A2"/>
    <w:rsid w:val="00C21F31"/>
    <w:rsid w:val="00C23226"/>
    <w:rsid w:val="00C234A2"/>
    <w:rsid w:val="00C235EB"/>
    <w:rsid w:val="00C236A0"/>
    <w:rsid w:val="00C23A7E"/>
    <w:rsid w:val="00C23E5C"/>
    <w:rsid w:val="00C23F6E"/>
    <w:rsid w:val="00C24074"/>
    <w:rsid w:val="00C24658"/>
    <w:rsid w:val="00C25267"/>
    <w:rsid w:val="00C255CD"/>
    <w:rsid w:val="00C255FC"/>
    <w:rsid w:val="00C25723"/>
    <w:rsid w:val="00C25790"/>
    <w:rsid w:val="00C25C2A"/>
    <w:rsid w:val="00C25C5D"/>
    <w:rsid w:val="00C25FCE"/>
    <w:rsid w:val="00C26369"/>
    <w:rsid w:val="00C2639D"/>
    <w:rsid w:val="00C26B4D"/>
    <w:rsid w:val="00C26CBB"/>
    <w:rsid w:val="00C271E5"/>
    <w:rsid w:val="00C2762B"/>
    <w:rsid w:val="00C278AE"/>
    <w:rsid w:val="00C27A82"/>
    <w:rsid w:val="00C27CF3"/>
    <w:rsid w:val="00C30624"/>
    <w:rsid w:val="00C3096D"/>
    <w:rsid w:val="00C30EC2"/>
    <w:rsid w:val="00C31247"/>
    <w:rsid w:val="00C31E49"/>
    <w:rsid w:val="00C320E7"/>
    <w:rsid w:val="00C327F0"/>
    <w:rsid w:val="00C32EA2"/>
    <w:rsid w:val="00C331B2"/>
    <w:rsid w:val="00C3377B"/>
    <w:rsid w:val="00C33D23"/>
    <w:rsid w:val="00C33F05"/>
    <w:rsid w:val="00C3408E"/>
    <w:rsid w:val="00C34765"/>
    <w:rsid w:val="00C365F7"/>
    <w:rsid w:val="00C36A2E"/>
    <w:rsid w:val="00C3773A"/>
    <w:rsid w:val="00C37B41"/>
    <w:rsid w:val="00C37CC1"/>
    <w:rsid w:val="00C37D78"/>
    <w:rsid w:val="00C37F0F"/>
    <w:rsid w:val="00C40927"/>
    <w:rsid w:val="00C40E38"/>
    <w:rsid w:val="00C412F5"/>
    <w:rsid w:val="00C41A02"/>
    <w:rsid w:val="00C41E5A"/>
    <w:rsid w:val="00C42228"/>
    <w:rsid w:val="00C4224F"/>
    <w:rsid w:val="00C4243A"/>
    <w:rsid w:val="00C4299C"/>
    <w:rsid w:val="00C435FA"/>
    <w:rsid w:val="00C436A3"/>
    <w:rsid w:val="00C436D1"/>
    <w:rsid w:val="00C43EF9"/>
    <w:rsid w:val="00C43F70"/>
    <w:rsid w:val="00C4486D"/>
    <w:rsid w:val="00C450F4"/>
    <w:rsid w:val="00C45229"/>
    <w:rsid w:val="00C45329"/>
    <w:rsid w:val="00C453A7"/>
    <w:rsid w:val="00C4578D"/>
    <w:rsid w:val="00C463FB"/>
    <w:rsid w:val="00C46559"/>
    <w:rsid w:val="00C4698D"/>
    <w:rsid w:val="00C47B04"/>
    <w:rsid w:val="00C507BB"/>
    <w:rsid w:val="00C50E69"/>
    <w:rsid w:val="00C5136E"/>
    <w:rsid w:val="00C514AD"/>
    <w:rsid w:val="00C51E43"/>
    <w:rsid w:val="00C5223D"/>
    <w:rsid w:val="00C52D87"/>
    <w:rsid w:val="00C5347E"/>
    <w:rsid w:val="00C5364B"/>
    <w:rsid w:val="00C536C8"/>
    <w:rsid w:val="00C53B87"/>
    <w:rsid w:val="00C547FC"/>
    <w:rsid w:val="00C54E5C"/>
    <w:rsid w:val="00C5564F"/>
    <w:rsid w:val="00C5582F"/>
    <w:rsid w:val="00C5585E"/>
    <w:rsid w:val="00C55893"/>
    <w:rsid w:val="00C55AB6"/>
    <w:rsid w:val="00C55B99"/>
    <w:rsid w:val="00C55CED"/>
    <w:rsid w:val="00C55E26"/>
    <w:rsid w:val="00C56236"/>
    <w:rsid w:val="00C567EB"/>
    <w:rsid w:val="00C568FB"/>
    <w:rsid w:val="00C56952"/>
    <w:rsid w:val="00C57171"/>
    <w:rsid w:val="00C577DC"/>
    <w:rsid w:val="00C5781F"/>
    <w:rsid w:val="00C579A8"/>
    <w:rsid w:val="00C60540"/>
    <w:rsid w:val="00C6078C"/>
    <w:rsid w:val="00C60870"/>
    <w:rsid w:val="00C608BA"/>
    <w:rsid w:val="00C60E13"/>
    <w:rsid w:val="00C61576"/>
    <w:rsid w:val="00C61943"/>
    <w:rsid w:val="00C61A3D"/>
    <w:rsid w:val="00C61A79"/>
    <w:rsid w:val="00C61C1F"/>
    <w:rsid w:val="00C61D9A"/>
    <w:rsid w:val="00C6218F"/>
    <w:rsid w:val="00C6226F"/>
    <w:rsid w:val="00C62D37"/>
    <w:rsid w:val="00C62FEF"/>
    <w:rsid w:val="00C63202"/>
    <w:rsid w:val="00C6352D"/>
    <w:rsid w:val="00C63612"/>
    <w:rsid w:val="00C639BE"/>
    <w:rsid w:val="00C63AA5"/>
    <w:rsid w:val="00C64DE5"/>
    <w:rsid w:val="00C651D8"/>
    <w:rsid w:val="00C659E3"/>
    <w:rsid w:val="00C65A85"/>
    <w:rsid w:val="00C65ED0"/>
    <w:rsid w:val="00C65F96"/>
    <w:rsid w:val="00C660C1"/>
    <w:rsid w:val="00C66334"/>
    <w:rsid w:val="00C66498"/>
    <w:rsid w:val="00C664A3"/>
    <w:rsid w:val="00C665D1"/>
    <w:rsid w:val="00C6679F"/>
    <w:rsid w:val="00C670FF"/>
    <w:rsid w:val="00C67482"/>
    <w:rsid w:val="00C67621"/>
    <w:rsid w:val="00C677A6"/>
    <w:rsid w:val="00C6780D"/>
    <w:rsid w:val="00C67EC0"/>
    <w:rsid w:val="00C704EA"/>
    <w:rsid w:val="00C706E0"/>
    <w:rsid w:val="00C7099C"/>
    <w:rsid w:val="00C710E4"/>
    <w:rsid w:val="00C710FF"/>
    <w:rsid w:val="00C71268"/>
    <w:rsid w:val="00C71754"/>
    <w:rsid w:val="00C719CF"/>
    <w:rsid w:val="00C71ACB"/>
    <w:rsid w:val="00C722F1"/>
    <w:rsid w:val="00C724AD"/>
    <w:rsid w:val="00C72569"/>
    <w:rsid w:val="00C72748"/>
    <w:rsid w:val="00C7287F"/>
    <w:rsid w:val="00C7297F"/>
    <w:rsid w:val="00C72C66"/>
    <w:rsid w:val="00C73063"/>
    <w:rsid w:val="00C73076"/>
    <w:rsid w:val="00C734F6"/>
    <w:rsid w:val="00C73572"/>
    <w:rsid w:val="00C73658"/>
    <w:rsid w:val="00C7369A"/>
    <w:rsid w:val="00C7375D"/>
    <w:rsid w:val="00C73E15"/>
    <w:rsid w:val="00C7414E"/>
    <w:rsid w:val="00C74250"/>
    <w:rsid w:val="00C742FA"/>
    <w:rsid w:val="00C74E5C"/>
    <w:rsid w:val="00C74E5E"/>
    <w:rsid w:val="00C751FA"/>
    <w:rsid w:val="00C758F5"/>
    <w:rsid w:val="00C75DC7"/>
    <w:rsid w:val="00C76355"/>
    <w:rsid w:val="00C76537"/>
    <w:rsid w:val="00C7666D"/>
    <w:rsid w:val="00C76F47"/>
    <w:rsid w:val="00C76F9B"/>
    <w:rsid w:val="00C7703B"/>
    <w:rsid w:val="00C770D0"/>
    <w:rsid w:val="00C77302"/>
    <w:rsid w:val="00C778A9"/>
    <w:rsid w:val="00C77A08"/>
    <w:rsid w:val="00C77C12"/>
    <w:rsid w:val="00C77DA1"/>
    <w:rsid w:val="00C77E6D"/>
    <w:rsid w:val="00C8016D"/>
    <w:rsid w:val="00C806A6"/>
    <w:rsid w:val="00C808FD"/>
    <w:rsid w:val="00C80AFC"/>
    <w:rsid w:val="00C80D22"/>
    <w:rsid w:val="00C815C3"/>
    <w:rsid w:val="00C816BD"/>
    <w:rsid w:val="00C81C30"/>
    <w:rsid w:val="00C82078"/>
    <w:rsid w:val="00C820A9"/>
    <w:rsid w:val="00C82351"/>
    <w:rsid w:val="00C82950"/>
    <w:rsid w:val="00C82D63"/>
    <w:rsid w:val="00C82F63"/>
    <w:rsid w:val="00C8392A"/>
    <w:rsid w:val="00C83A0E"/>
    <w:rsid w:val="00C83EE1"/>
    <w:rsid w:val="00C843C7"/>
    <w:rsid w:val="00C8444A"/>
    <w:rsid w:val="00C84DEB"/>
    <w:rsid w:val="00C8553F"/>
    <w:rsid w:val="00C86098"/>
    <w:rsid w:val="00C8647F"/>
    <w:rsid w:val="00C867B7"/>
    <w:rsid w:val="00C86D22"/>
    <w:rsid w:val="00C87643"/>
    <w:rsid w:val="00C878EF"/>
    <w:rsid w:val="00C87B1F"/>
    <w:rsid w:val="00C87B64"/>
    <w:rsid w:val="00C87D32"/>
    <w:rsid w:val="00C87FF6"/>
    <w:rsid w:val="00C900BE"/>
    <w:rsid w:val="00C90370"/>
    <w:rsid w:val="00C9039B"/>
    <w:rsid w:val="00C90D2B"/>
    <w:rsid w:val="00C915B3"/>
    <w:rsid w:val="00C917FA"/>
    <w:rsid w:val="00C918BC"/>
    <w:rsid w:val="00C91F08"/>
    <w:rsid w:val="00C925ED"/>
    <w:rsid w:val="00C9299D"/>
    <w:rsid w:val="00C92FFF"/>
    <w:rsid w:val="00C9322E"/>
    <w:rsid w:val="00C93251"/>
    <w:rsid w:val="00C9430B"/>
    <w:rsid w:val="00C94685"/>
    <w:rsid w:val="00C948A0"/>
    <w:rsid w:val="00C948A7"/>
    <w:rsid w:val="00C94C05"/>
    <w:rsid w:val="00C94F42"/>
    <w:rsid w:val="00C94FCA"/>
    <w:rsid w:val="00C95219"/>
    <w:rsid w:val="00C954EB"/>
    <w:rsid w:val="00C959A8"/>
    <w:rsid w:val="00C95F15"/>
    <w:rsid w:val="00C96165"/>
    <w:rsid w:val="00C96774"/>
    <w:rsid w:val="00C967BE"/>
    <w:rsid w:val="00C96879"/>
    <w:rsid w:val="00C96B36"/>
    <w:rsid w:val="00C972A3"/>
    <w:rsid w:val="00C97702"/>
    <w:rsid w:val="00C977B7"/>
    <w:rsid w:val="00C97C21"/>
    <w:rsid w:val="00CA059C"/>
    <w:rsid w:val="00CA0972"/>
    <w:rsid w:val="00CA0C98"/>
    <w:rsid w:val="00CA0F5C"/>
    <w:rsid w:val="00CA11F4"/>
    <w:rsid w:val="00CA1E13"/>
    <w:rsid w:val="00CA26F9"/>
    <w:rsid w:val="00CA29B5"/>
    <w:rsid w:val="00CA2B33"/>
    <w:rsid w:val="00CA2C8D"/>
    <w:rsid w:val="00CA2FB4"/>
    <w:rsid w:val="00CA3261"/>
    <w:rsid w:val="00CA3332"/>
    <w:rsid w:val="00CA346E"/>
    <w:rsid w:val="00CA37C0"/>
    <w:rsid w:val="00CA3BAA"/>
    <w:rsid w:val="00CA3EEB"/>
    <w:rsid w:val="00CA447E"/>
    <w:rsid w:val="00CA44CA"/>
    <w:rsid w:val="00CA4B4D"/>
    <w:rsid w:val="00CA4C2B"/>
    <w:rsid w:val="00CA4F1C"/>
    <w:rsid w:val="00CA5487"/>
    <w:rsid w:val="00CA6866"/>
    <w:rsid w:val="00CA6944"/>
    <w:rsid w:val="00CA6B93"/>
    <w:rsid w:val="00CA7EFF"/>
    <w:rsid w:val="00CA7F7B"/>
    <w:rsid w:val="00CB0587"/>
    <w:rsid w:val="00CB0A0D"/>
    <w:rsid w:val="00CB0A79"/>
    <w:rsid w:val="00CB0BF8"/>
    <w:rsid w:val="00CB0C16"/>
    <w:rsid w:val="00CB0CCD"/>
    <w:rsid w:val="00CB1595"/>
    <w:rsid w:val="00CB183E"/>
    <w:rsid w:val="00CB20F4"/>
    <w:rsid w:val="00CB2258"/>
    <w:rsid w:val="00CB23CE"/>
    <w:rsid w:val="00CB2404"/>
    <w:rsid w:val="00CB2745"/>
    <w:rsid w:val="00CB28C8"/>
    <w:rsid w:val="00CB2C26"/>
    <w:rsid w:val="00CB2F1F"/>
    <w:rsid w:val="00CB30E1"/>
    <w:rsid w:val="00CB315C"/>
    <w:rsid w:val="00CB355D"/>
    <w:rsid w:val="00CB39AD"/>
    <w:rsid w:val="00CB3BF8"/>
    <w:rsid w:val="00CB4262"/>
    <w:rsid w:val="00CB4BD4"/>
    <w:rsid w:val="00CB501E"/>
    <w:rsid w:val="00CB557F"/>
    <w:rsid w:val="00CB5DF5"/>
    <w:rsid w:val="00CB60FD"/>
    <w:rsid w:val="00CB67FF"/>
    <w:rsid w:val="00CB6A08"/>
    <w:rsid w:val="00CB730C"/>
    <w:rsid w:val="00CB7961"/>
    <w:rsid w:val="00CB7BD6"/>
    <w:rsid w:val="00CC0063"/>
    <w:rsid w:val="00CC00F0"/>
    <w:rsid w:val="00CC0763"/>
    <w:rsid w:val="00CC0A3F"/>
    <w:rsid w:val="00CC0AB1"/>
    <w:rsid w:val="00CC0BA7"/>
    <w:rsid w:val="00CC1000"/>
    <w:rsid w:val="00CC149D"/>
    <w:rsid w:val="00CC1A4A"/>
    <w:rsid w:val="00CC1A62"/>
    <w:rsid w:val="00CC1AA5"/>
    <w:rsid w:val="00CC29BD"/>
    <w:rsid w:val="00CC29C0"/>
    <w:rsid w:val="00CC2CCB"/>
    <w:rsid w:val="00CC31FE"/>
    <w:rsid w:val="00CC320F"/>
    <w:rsid w:val="00CC3DE5"/>
    <w:rsid w:val="00CC3EEA"/>
    <w:rsid w:val="00CC4152"/>
    <w:rsid w:val="00CC4B19"/>
    <w:rsid w:val="00CC4C42"/>
    <w:rsid w:val="00CC530D"/>
    <w:rsid w:val="00CC55D3"/>
    <w:rsid w:val="00CC572A"/>
    <w:rsid w:val="00CC58C8"/>
    <w:rsid w:val="00CC649C"/>
    <w:rsid w:val="00CC74A8"/>
    <w:rsid w:val="00CC7DCA"/>
    <w:rsid w:val="00CD01E9"/>
    <w:rsid w:val="00CD05E4"/>
    <w:rsid w:val="00CD0761"/>
    <w:rsid w:val="00CD0D1F"/>
    <w:rsid w:val="00CD1B45"/>
    <w:rsid w:val="00CD1E4B"/>
    <w:rsid w:val="00CD238C"/>
    <w:rsid w:val="00CD2457"/>
    <w:rsid w:val="00CD2FCA"/>
    <w:rsid w:val="00CD31AF"/>
    <w:rsid w:val="00CD3238"/>
    <w:rsid w:val="00CD3951"/>
    <w:rsid w:val="00CD3EDE"/>
    <w:rsid w:val="00CD47F7"/>
    <w:rsid w:val="00CD48FD"/>
    <w:rsid w:val="00CD4AFC"/>
    <w:rsid w:val="00CD4B40"/>
    <w:rsid w:val="00CD4E5B"/>
    <w:rsid w:val="00CD4ED1"/>
    <w:rsid w:val="00CD4FAA"/>
    <w:rsid w:val="00CD500F"/>
    <w:rsid w:val="00CD52AA"/>
    <w:rsid w:val="00CD577E"/>
    <w:rsid w:val="00CD57E8"/>
    <w:rsid w:val="00CD58E7"/>
    <w:rsid w:val="00CD5939"/>
    <w:rsid w:val="00CD59A8"/>
    <w:rsid w:val="00CD5D6A"/>
    <w:rsid w:val="00CD5DC7"/>
    <w:rsid w:val="00CD614F"/>
    <w:rsid w:val="00CD6A3D"/>
    <w:rsid w:val="00CD6D8A"/>
    <w:rsid w:val="00CD6F31"/>
    <w:rsid w:val="00CD7123"/>
    <w:rsid w:val="00CD7300"/>
    <w:rsid w:val="00CD7662"/>
    <w:rsid w:val="00CD76F2"/>
    <w:rsid w:val="00CD772E"/>
    <w:rsid w:val="00CD7E30"/>
    <w:rsid w:val="00CE0ABF"/>
    <w:rsid w:val="00CE0E11"/>
    <w:rsid w:val="00CE1172"/>
    <w:rsid w:val="00CE160B"/>
    <w:rsid w:val="00CE165C"/>
    <w:rsid w:val="00CE1967"/>
    <w:rsid w:val="00CE1AF5"/>
    <w:rsid w:val="00CE1FC0"/>
    <w:rsid w:val="00CE2102"/>
    <w:rsid w:val="00CE2518"/>
    <w:rsid w:val="00CE25B3"/>
    <w:rsid w:val="00CE26BC"/>
    <w:rsid w:val="00CE2A4A"/>
    <w:rsid w:val="00CE2ADF"/>
    <w:rsid w:val="00CE2B8F"/>
    <w:rsid w:val="00CE2BF6"/>
    <w:rsid w:val="00CE31E0"/>
    <w:rsid w:val="00CE3B50"/>
    <w:rsid w:val="00CE3C6C"/>
    <w:rsid w:val="00CE3DF9"/>
    <w:rsid w:val="00CE4961"/>
    <w:rsid w:val="00CE4BB7"/>
    <w:rsid w:val="00CE5499"/>
    <w:rsid w:val="00CE5572"/>
    <w:rsid w:val="00CE581F"/>
    <w:rsid w:val="00CE58EF"/>
    <w:rsid w:val="00CE5AE1"/>
    <w:rsid w:val="00CE6075"/>
    <w:rsid w:val="00CE6378"/>
    <w:rsid w:val="00CE63EC"/>
    <w:rsid w:val="00CE6879"/>
    <w:rsid w:val="00CE6CD7"/>
    <w:rsid w:val="00CE6E85"/>
    <w:rsid w:val="00CE6E8F"/>
    <w:rsid w:val="00CE6F97"/>
    <w:rsid w:val="00CE7149"/>
    <w:rsid w:val="00CE7512"/>
    <w:rsid w:val="00CE7AD8"/>
    <w:rsid w:val="00CE7C1F"/>
    <w:rsid w:val="00CF0044"/>
    <w:rsid w:val="00CF0C52"/>
    <w:rsid w:val="00CF0C87"/>
    <w:rsid w:val="00CF0E1D"/>
    <w:rsid w:val="00CF0E73"/>
    <w:rsid w:val="00CF1043"/>
    <w:rsid w:val="00CF110C"/>
    <w:rsid w:val="00CF1197"/>
    <w:rsid w:val="00CF18C6"/>
    <w:rsid w:val="00CF1BCF"/>
    <w:rsid w:val="00CF1D38"/>
    <w:rsid w:val="00CF200D"/>
    <w:rsid w:val="00CF251F"/>
    <w:rsid w:val="00CF2747"/>
    <w:rsid w:val="00CF27F5"/>
    <w:rsid w:val="00CF2C9D"/>
    <w:rsid w:val="00CF3F3B"/>
    <w:rsid w:val="00CF4038"/>
    <w:rsid w:val="00CF43CF"/>
    <w:rsid w:val="00CF4691"/>
    <w:rsid w:val="00CF48C3"/>
    <w:rsid w:val="00CF5D16"/>
    <w:rsid w:val="00CF602D"/>
    <w:rsid w:val="00CF63CA"/>
    <w:rsid w:val="00CF6466"/>
    <w:rsid w:val="00CF650D"/>
    <w:rsid w:val="00CF6746"/>
    <w:rsid w:val="00CF70FC"/>
    <w:rsid w:val="00CF71F8"/>
    <w:rsid w:val="00CF77AF"/>
    <w:rsid w:val="00CF7A8E"/>
    <w:rsid w:val="00CF7B0C"/>
    <w:rsid w:val="00CF7B9A"/>
    <w:rsid w:val="00CF7E8A"/>
    <w:rsid w:val="00D003DF"/>
    <w:rsid w:val="00D006EA"/>
    <w:rsid w:val="00D00882"/>
    <w:rsid w:val="00D01794"/>
    <w:rsid w:val="00D01B81"/>
    <w:rsid w:val="00D01ED4"/>
    <w:rsid w:val="00D027BE"/>
    <w:rsid w:val="00D029F4"/>
    <w:rsid w:val="00D03304"/>
    <w:rsid w:val="00D035F9"/>
    <w:rsid w:val="00D03629"/>
    <w:rsid w:val="00D0382F"/>
    <w:rsid w:val="00D03BC3"/>
    <w:rsid w:val="00D03EE2"/>
    <w:rsid w:val="00D03FF8"/>
    <w:rsid w:val="00D040A6"/>
    <w:rsid w:val="00D044E0"/>
    <w:rsid w:val="00D044F4"/>
    <w:rsid w:val="00D04A4B"/>
    <w:rsid w:val="00D04C39"/>
    <w:rsid w:val="00D04EFF"/>
    <w:rsid w:val="00D053A6"/>
    <w:rsid w:val="00D06349"/>
    <w:rsid w:val="00D06A27"/>
    <w:rsid w:val="00D072D0"/>
    <w:rsid w:val="00D07405"/>
    <w:rsid w:val="00D078D5"/>
    <w:rsid w:val="00D07C1A"/>
    <w:rsid w:val="00D07CF1"/>
    <w:rsid w:val="00D10375"/>
    <w:rsid w:val="00D10444"/>
    <w:rsid w:val="00D10870"/>
    <w:rsid w:val="00D109F4"/>
    <w:rsid w:val="00D112E6"/>
    <w:rsid w:val="00D1139A"/>
    <w:rsid w:val="00D113D1"/>
    <w:rsid w:val="00D11607"/>
    <w:rsid w:val="00D116E7"/>
    <w:rsid w:val="00D11DD7"/>
    <w:rsid w:val="00D11FF0"/>
    <w:rsid w:val="00D1210A"/>
    <w:rsid w:val="00D12164"/>
    <w:rsid w:val="00D12333"/>
    <w:rsid w:val="00D123C0"/>
    <w:rsid w:val="00D125B9"/>
    <w:rsid w:val="00D1260B"/>
    <w:rsid w:val="00D12999"/>
    <w:rsid w:val="00D12F47"/>
    <w:rsid w:val="00D13105"/>
    <w:rsid w:val="00D135FD"/>
    <w:rsid w:val="00D13744"/>
    <w:rsid w:val="00D1383A"/>
    <w:rsid w:val="00D13CF4"/>
    <w:rsid w:val="00D13D13"/>
    <w:rsid w:val="00D13E99"/>
    <w:rsid w:val="00D143BE"/>
    <w:rsid w:val="00D1443C"/>
    <w:rsid w:val="00D14679"/>
    <w:rsid w:val="00D147F0"/>
    <w:rsid w:val="00D1480B"/>
    <w:rsid w:val="00D14C04"/>
    <w:rsid w:val="00D1543E"/>
    <w:rsid w:val="00D15462"/>
    <w:rsid w:val="00D1562D"/>
    <w:rsid w:val="00D15792"/>
    <w:rsid w:val="00D15A82"/>
    <w:rsid w:val="00D15C9A"/>
    <w:rsid w:val="00D15DB3"/>
    <w:rsid w:val="00D1655F"/>
    <w:rsid w:val="00D16585"/>
    <w:rsid w:val="00D1662B"/>
    <w:rsid w:val="00D169A7"/>
    <w:rsid w:val="00D16B66"/>
    <w:rsid w:val="00D1706D"/>
    <w:rsid w:val="00D17713"/>
    <w:rsid w:val="00D179F5"/>
    <w:rsid w:val="00D17D02"/>
    <w:rsid w:val="00D17FA3"/>
    <w:rsid w:val="00D2008E"/>
    <w:rsid w:val="00D20F94"/>
    <w:rsid w:val="00D21191"/>
    <w:rsid w:val="00D2132A"/>
    <w:rsid w:val="00D2167A"/>
    <w:rsid w:val="00D21928"/>
    <w:rsid w:val="00D2216A"/>
    <w:rsid w:val="00D227E5"/>
    <w:rsid w:val="00D22BF6"/>
    <w:rsid w:val="00D22DC0"/>
    <w:rsid w:val="00D2316D"/>
    <w:rsid w:val="00D233EA"/>
    <w:rsid w:val="00D234B4"/>
    <w:rsid w:val="00D2356A"/>
    <w:rsid w:val="00D23620"/>
    <w:rsid w:val="00D23709"/>
    <w:rsid w:val="00D23712"/>
    <w:rsid w:val="00D23973"/>
    <w:rsid w:val="00D23C39"/>
    <w:rsid w:val="00D23DB8"/>
    <w:rsid w:val="00D2477E"/>
    <w:rsid w:val="00D248EA"/>
    <w:rsid w:val="00D250CE"/>
    <w:rsid w:val="00D2518F"/>
    <w:rsid w:val="00D2583A"/>
    <w:rsid w:val="00D259C2"/>
    <w:rsid w:val="00D25AE2"/>
    <w:rsid w:val="00D25C62"/>
    <w:rsid w:val="00D25EB0"/>
    <w:rsid w:val="00D26128"/>
    <w:rsid w:val="00D262DB"/>
    <w:rsid w:val="00D26495"/>
    <w:rsid w:val="00D264A2"/>
    <w:rsid w:val="00D2651A"/>
    <w:rsid w:val="00D26E4F"/>
    <w:rsid w:val="00D26EA7"/>
    <w:rsid w:val="00D27058"/>
    <w:rsid w:val="00D2773F"/>
    <w:rsid w:val="00D2786D"/>
    <w:rsid w:val="00D27F56"/>
    <w:rsid w:val="00D30101"/>
    <w:rsid w:val="00D30670"/>
    <w:rsid w:val="00D30763"/>
    <w:rsid w:val="00D309F2"/>
    <w:rsid w:val="00D30F4A"/>
    <w:rsid w:val="00D310BD"/>
    <w:rsid w:val="00D311EA"/>
    <w:rsid w:val="00D31320"/>
    <w:rsid w:val="00D31F03"/>
    <w:rsid w:val="00D31FF5"/>
    <w:rsid w:val="00D32010"/>
    <w:rsid w:val="00D3298F"/>
    <w:rsid w:val="00D33184"/>
    <w:rsid w:val="00D3318A"/>
    <w:rsid w:val="00D335A3"/>
    <w:rsid w:val="00D33904"/>
    <w:rsid w:val="00D33AE9"/>
    <w:rsid w:val="00D33AFF"/>
    <w:rsid w:val="00D33BE3"/>
    <w:rsid w:val="00D33D37"/>
    <w:rsid w:val="00D33D50"/>
    <w:rsid w:val="00D33FE1"/>
    <w:rsid w:val="00D3409A"/>
    <w:rsid w:val="00D340B4"/>
    <w:rsid w:val="00D341C7"/>
    <w:rsid w:val="00D34B7E"/>
    <w:rsid w:val="00D34F4D"/>
    <w:rsid w:val="00D355BF"/>
    <w:rsid w:val="00D35638"/>
    <w:rsid w:val="00D35999"/>
    <w:rsid w:val="00D35DC8"/>
    <w:rsid w:val="00D36018"/>
    <w:rsid w:val="00D36C74"/>
    <w:rsid w:val="00D36FCA"/>
    <w:rsid w:val="00D3718E"/>
    <w:rsid w:val="00D37BA3"/>
    <w:rsid w:val="00D37C88"/>
    <w:rsid w:val="00D37D35"/>
    <w:rsid w:val="00D4004A"/>
    <w:rsid w:val="00D400C9"/>
    <w:rsid w:val="00D4024F"/>
    <w:rsid w:val="00D4061F"/>
    <w:rsid w:val="00D4071C"/>
    <w:rsid w:val="00D40E44"/>
    <w:rsid w:val="00D41142"/>
    <w:rsid w:val="00D412A6"/>
    <w:rsid w:val="00D41555"/>
    <w:rsid w:val="00D41727"/>
    <w:rsid w:val="00D420E0"/>
    <w:rsid w:val="00D4214F"/>
    <w:rsid w:val="00D427EF"/>
    <w:rsid w:val="00D42A73"/>
    <w:rsid w:val="00D42B32"/>
    <w:rsid w:val="00D42BF9"/>
    <w:rsid w:val="00D42DAD"/>
    <w:rsid w:val="00D436BA"/>
    <w:rsid w:val="00D43CB2"/>
    <w:rsid w:val="00D43D19"/>
    <w:rsid w:val="00D43F0B"/>
    <w:rsid w:val="00D4410C"/>
    <w:rsid w:val="00D4431E"/>
    <w:rsid w:val="00D44F34"/>
    <w:rsid w:val="00D44FFF"/>
    <w:rsid w:val="00D4505B"/>
    <w:rsid w:val="00D456ED"/>
    <w:rsid w:val="00D4633C"/>
    <w:rsid w:val="00D463AC"/>
    <w:rsid w:val="00D467D4"/>
    <w:rsid w:val="00D4770E"/>
    <w:rsid w:val="00D477E0"/>
    <w:rsid w:val="00D47D0F"/>
    <w:rsid w:val="00D506AA"/>
    <w:rsid w:val="00D50861"/>
    <w:rsid w:val="00D5096C"/>
    <w:rsid w:val="00D50AB3"/>
    <w:rsid w:val="00D50B09"/>
    <w:rsid w:val="00D50B24"/>
    <w:rsid w:val="00D51253"/>
    <w:rsid w:val="00D51489"/>
    <w:rsid w:val="00D51A06"/>
    <w:rsid w:val="00D528CB"/>
    <w:rsid w:val="00D529FD"/>
    <w:rsid w:val="00D52C0C"/>
    <w:rsid w:val="00D52C0F"/>
    <w:rsid w:val="00D53141"/>
    <w:rsid w:val="00D531C9"/>
    <w:rsid w:val="00D537CB"/>
    <w:rsid w:val="00D53A0C"/>
    <w:rsid w:val="00D53C87"/>
    <w:rsid w:val="00D53DE4"/>
    <w:rsid w:val="00D53F3F"/>
    <w:rsid w:val="00D53FB9"/>
    <w:rsid w:val="00D5479D"/>
    <w:rsid w:val="00D54CDF"/>
    <w:rsid w:val="00D54D79"/>
    <w:rsid w:val="00D55265"/>
    <w:rsid w:val="00D55BC3"/>
    <w:rsid w:val="00D56469"/>
    <w:rsid w:val="00D56513"/>
    <w:rsid w:val="00D57058"/>
    <w:rsid w:val="00D57663"/>
    <w:rsid w:val="00D57B29"/>
    <w:rsid w:val="00D57E9E"/>
    <w:rsid w:val="00D6014C"/>
    <w:rsid w:val="00D60216"/>
    <w:rsid w:val="00D606B6"/>
    <w:rsid w:val="00D60797"/>
    <w:rsid w:val="00D607B4"/>
    <w:rsid w:val="00D60CD6"/>
    <w:rsid w:val="00D61050"/>
    <w:rsid w:val="00D613BF"/>
    <w:rsid w:val="00D61610"/>
    <w:rsid w:val="00D61869"/>
    <w:rsid w:val="00D618A7"/>
    <w:rsid w:val="00D623E4"/>
    <w:rsid w:val="00D62401"/>
    <w:rsid w:val="00D626EB"/>
    <w:rsid w:val="00D62D9D"/>
    <w:rsid w:val="00D62E2C"/>
    <w:rsid w:val="00D62ED2"/>
    <w:rsid w:val="00D63257"/>
    <w:rsid w:val="00D63262"/>
    <w:rsid w:val="00D632EC"/>
    <w:rsid w:val="00D6377C"/>
    <w:rsid w:val="00D63796"/>
    <w:rsid w:val="00D63B3E"/>
    <w:rsid w:val="00D63BC1"/>
    <w:rsid w:val="00D6457C"/>
    <w:rsid w:val="00D64609"/>
    <w:rsid w:val="00D65502"/>
    <w:rsid w:val="00D66342"/>
    <w:rsid w:val="00D66920"/>
    <w:rsid w:val="00D6692E"/>
    <w:rsid w:val="00D66A2C"/>
    <w:rsid w:val="00D66DE7"/>
    <w:rsid w:val="00D670D7"/>
    <w:rsid w:val="00D67836"/>
    <w:rsid w:val="00D704F2"/>
    <w:rsid w:val="00D70FEA"/>
    <w:rsid w:val="00D7194B"/>
    <w:rsid w:val="00D71C0C"/>
    <w:rsid w:val="00D722C0"/>
    <w:rsid w:val="00D725B7"/>
    <w:rsid w:val="00D72654"/>
    <w:rsid w:val="00D72826"/>
    <w:rsid w:val="00D72977"/>
    <w:rsid w:val="00D72D28"/>
    <w:rsid w:val="00D72DA9"/>
    <w:rsid w:val="00D731EC"/>
    <w:rsid w:val="00D731F1"/>
    <w:rsid w:val="00D735CA"/>
    <w:rsid w:val="00D73797"/>
    <w:rsid w:val="00D7459B"/>
    <w:rsid w:val="00D74664"/>
    <w:rsid w:val="00D7533C"/>
    <w:rsid w:val="00D75696"/>
    <w:rsid w:val="00D7590E"/>
    <w:rsid w:val="00D7594B"/>
    <w:rsid w:val="00D75B43"/>
    <w:rsid w:val="00D75C21"/>
    <w:rsid w:val="00D768BA"/>
    <w:rsid w:val="00D769B6"/>
    <w:rsid w:val="00D76CE4"/>
    <w:rsid w:val="00D76D34"/>
    <w:rsid w:val="00D76D4F"/>
    <w:rsid w:val="00D770F1"/>
    <w:rsid w:val="00D771A3"/>
    <w:rsid w:val="00D77247"/>
    <w:rsid w:val="00D7777B"/>
    <w:rsid w:val="00D779AA"/>
    <w:rsid w:val="00D77FE1"/>
    <w:rsid w:val="00D800BD"/>
    <w:rsid w:val="00D80515"/>
    <w:rsid w:val="00D8095D"/>
    <w:rsid w:val="00D81000"/>
    <w:rsid w:val="00D8119D"/>
    <w:rsid w:val="00D8145C"/>
    <w:rsid w:val="00D81E22"/>
    <w:rsid w:val="00D8304D"/>
    <w:rsid w:val="00D831A9"/>
    <w:rsid w:val="00D835B9"/>
    <w:rsid w:val="00D839C4"/>
    <w:rsid w:val="00D83FA3"/>
    <w:rsid w:val="00D840DC"/>
    <w:rsid w:val="00D8490D"/>
    <w:rsid w:val="00D85742"/>
    <w:rsid w:val="00D857E5"/>
    <w:rsid w:val="00D858CF"/>
    <w:rsid w:val="00D86158"/>
    <w:rsid w:val="00D863C1"/>
    <w:rsid w:val="00D86773"/>
    <w:rsid w:val="00D87330"/>
    <w:rsid w:val="00D87829"/>
    <w:rsid w:val="00D87851"/>
    <w:rsid w:val="00D879AE"/>
    <w:rsid w:val="00D87AA3"/>
    <w:rsid w:val="00D87B93"/>
    <w:rsid w:val="00D907B6"/>
    <w:rsid w:val="00D907B8"/>
    <w:rsid w:val="00D90841"/>
    <w:rsid w:val="00D90964"/>
    <w:rsid w:val="00D9181E"/>
    <w:rsid w:val="00D918D2"/>
    <w:rsid w:val="00D918DA"/>
    <w:rsid w:val="00D925CC"/>
    <w:rsid w:val="00D92D1A"/>
    <w:rsid w:val="00D930F2"/>
    <w:rsid w:val="00D93213"/>
    <w:rsid w:val="00D9367E"/>
    <w:rsid w:val="00D93721"/>
    <w:rsid w:val="00D93BA5"/>
    <w:rsid w:val="00D949FD"/>
    <w:rsid w:val="00D951DA"/>
    <w:rsid w:val="00D95272"/>
    <w:rsid w:val="00D9583C"/>
    <w:rsid w:val="00D959CA"/>
    <w:rsid w:val="00D95B64"/>
    <w:rsid w:val="00D95CE5"/>
    <w:rsid w:val="00D96458"/>
    <w:rsid w:val="00D9654A"/>
    <w:rsid w:val="00D9657F"/>
    <w:rsid w:val="00D96968"/>
    <w:rsid w:val="00D96A94"/>
    <w:rsid w:val="00D96AB7"/>
    <w:rsid w:val="00D97267"/>
    <w:rsid w:val="00D9758F"/>
    <w:rsid w:val="00D97BA0"/>
    <w:rsid w:val="00D97C90"/>
    <w:rsid w:val="00D97E9B"/>
    <w:rsid w:val="00D97FA2"/>
    <w:rsid w:val="00DA0066"/>
    <w:rsid w:val="00DA0129"/>
    <w:rsid w:val="00DA0672"/>
    <w:rsid w:val="00DA12E0"/>
    <w:rsid w:val="00DA16B6"/>
    <w:rsid w:val="00DA193A"/>
    <w:rsid w:val="00DA1A54"/>
    <w:rsid w:val="00DA1C0F"/>
    <w:rsid w:val="00DA1E4A"/>
    <w:rsid w:val="00DA221F"/>
    <w:rsid w:val="00DA27CE"/>
    <w:rsid w:val="00DA2B31"/>
    <w:rsid w:val="00DA2C77"/>
    <w:rsid w:val="00DA2D74"/>
    <w:rsid w:val="00DA3332"/>
    <w:rsid w:val="00DA3363"/>
    <w:rsid w:val="00DA3439"/>
    <w:rsid w:val="00DA3565"/>
    <w:rsid w:val="00DA35FB"/>
    <w:rsid w:val="00DA4397"/>
    <w:rsid w:val="00DA45DD"/>
    <w:rsid w:val="00DA4F5F"/>
    <w:rsid w:val="00DA556B"/>
    <w:rsid w:val="00DA5B55"/>
    <w:rsid w:val="00DA5D01"/>
    <w:rsid w:val="00DA5EC7"/>
    <w:rsid w:val="00DA6044"/>
    <w:rsid w:val="00DA60E2"/>
    <w:rsid w:val="00DA6163"/>
    <w:rsid w:val="00DA6503"/>
    <w:rsid w:val="00DA6522"/>
    <w:rsid w:val="00DA6A60"/>
    <w:rsid w:val="00DA7979"/>
    <w:rsid w:val="00DA7F6C"/>
    <w:rsid w:val="00DB00A1"/>
    <w:rsid w:val="00DB04EA"/>
    <w:rsid w:val="00DB0A03"/>
    <w:rsid w:val="00DB0E09"/>
    <w:rsid w:val="00DB1B8F"/>
    <w:rsid w:val="00DB1BD7"/>
    <w:rsid w:val="00DB1E30"/>
    <w:rsid w:val="00DB21AB"/>
    <w:rsid w:val="00DB2248"/>
    <w:rsid w:val="00DB2767"/>
    <w:rsid w:val="00DB2CF7"/>
    <w:rsid w:val="00DB337F"/>
    <w:rsid w:val="00DB34D9"/>
    <w:rsid w:val="00DB3BCA"/>
    <w:rsid w:val="00DB3E41"/>
    <w:rsid w:val="00DB454A"/>
    <w:rsid w:val="00DB4B93"/>
    <w:rsid w:val="00DB4FB1"/>
    <w:rsid w:val="00DB50CD"/>
    <w:rsid w:val="00DB5126"/>
    <w:rsid w:val="00DB54E9"/>
    <w:rsid w:val="00DB54FE"/>
    <w:rsid w:val="00DB5A95"/>
    <w:rsid w:val="00DB5A97"/>
    <w:rsid w:val="00DB5BCE"/>
    <w:rsid w:val="00DB5E08"/>
    <w:rsid w:val="00DB6871"/>
    <w:rsid w:val="00DB696D"/>
    <w:rsid w:val="00DB75E4"/>
    <w:rsid w:val="00DB7667"/>
    <w:rsid w:val="00DB7C68"/>
    <w:rsid w:val="00DB7D15"/>
    <w:rsid w:val="00DC052B"/>
    <w:rsid w:val="00DC07DE"/>
    <w:rsid w:val="00DC0D70"/>
    <w:rsid w:val="00DC0F32"/>
    <w:rsid w:val="00DC10E4"/>
    <w:rsid w:val="00DC1397"/>
    <w:rsid w:val="00DC1568"/>
    <w:rsid w:val="00DC1580"/>
    <w:rsid w:val="00DC1C6E"/>
    <w:rsid w:val="00DC1D48"/>
    <w:rsid w:val="00DC1EB8"/>
    <w:rsid w:val="00DC20B9"/>
    <w:rsid w:val="00DC2413"/>
    <w:rsid w:val="00DC26B0"/>
    <w:rsid w:val="00DC3153"/>
    <w:rsid w:val="00DC36EE"/>
    <w:rsid w:val="00DC3BAD"/>
    <w:rsid w:val="00DC3C9E"/>
    <w:rsid w:val="00DC3F2B"/>
    <w:rsid w:val="00DC4162"/>
    <w:rsid w:val="00DC439E"/>
    <w:rsid w:val="00DC43BF"/>
    <w:rsid w:val="00DC44F4"/>
    <w:rsid w:val="00DC4D94"/>
    <w:rsid w:val="00DC52B5"/>
    <w:rsid w:val="00DC5A60"/>
    <w:rsid w:val="00DC6221"/>
    <w:rsid w:val="00DC6349"/>
    <w:rsid w:val="00DC6685"/>
    <w:rsid w:val="00DC6A10"/>
    <w:rsid w:val="00DC74FE"/>
    <w:rsid w:val="00DC7627"/>
    <w:rsid w:val="00DC76D5"/>
    <w:rsid w:val="00DC788D"/>
    <w:rsid w:val="00DC7F31"/>
    <w:rsid w:val="00DD017C"/>
    <w:rsid w:val="00DD02EF"/>
    <w:rsid w:val="00DD102A"/>
    <w:rsid w:val="00DD15ED"/>
    <w:rsid w:val="00DD16D1"/>
    <w:rsid w:val="00DD18C8"/>
    <w:rsid w:val="00DD1983"/>
    <w:rsid w:val="00DD199E"/>
    <w:rsid w:val="00DD1A64"/>
    <w:rsid w:val="00DD2034"/>
    <w:rsid w:val="00DD2401"/>
    <w:rsid w:val="00DD2477"/>
    <w:rsid w:val="00DD2491"/>
    <w:rsid w:val="00DD28CC"/>
    <w:rsid w:val="00DD29F8"/>
    <w:rsid w:val="00DD2E00"/>
    <w:rsid w:val="00DD3374"/>
    <w:rsid w:val="00DD3782"/>
    <w:rsid w:val="00DD393A"/>
    <w:rsid w:val="00DD399E"/>
    <w:rsid w:val="00DD3B9D"/>
    <w:rsid w:val="00DD3EE5"/>
    <w:rsid w:val="00DD43A6"/>
    <w:rsid w:val="00DD4414"/>
    <w:rsid w:val="00DD4776"/>
    <w:rsid w:val="00DD4C37"/>
    <w:rsid w:val="00DD5133"/>
    <w:rsid w:val="00DD6228"/>
    <w:rsid w:val="00DD63FE"/>
    <w:rsid w:val="00DD665D"/>
    <w:rsid w:val="00DD767F"/>
    <w:rsid w:val="00DD7BBA"/>
    <w:rsid w:val="00DD7CED"/>
    <w:rsid w:val="00DE01AE"/>
    <w:rsid w:val="00DE024E"/>
    <w:rsid w:val="00DE02B9"/>
    <w:rsid w:val="00DE038E"/>
    <w:rsid w:val="00DE0439"/>
    <w:rsid w:val="00DE06CC"/>
    <w:rsid w:val="00DE0A5E"/>
    <w:rsid w:val="00DE0D5F"/>
    <w:rsid w:val="00DE0FA3"/>
    <w:rsid w:val="00DE115C"/>
    <w:rsid w:val="00DE17C8"/>
    <w:rsid w:val="00DE1B44"/>
    <w:rsid w:val="00DE1CD3"/>
    <w:rsid w:val="00DE2525"/>
    <w:rsid w:val="00DE25B4"/>
    <w:rsid w:val="00DE2725"/>
    <w:rsid w:val="00DE2B14"/>
    <w:rsid w:val="00DE2DC7"/>
    <w:rsid w:val="00DE304A"/>
    <w:rsid w:val="00DE3A54"/>
    <w:rsid w:val="00DE3D6A"/>
    <w:rsid w:val="00DE3E5F"/>
    <w:rsid w:val="00DE4630"/>
    <w:rsid w:val="00DE4F03"/>
    <w:rsid w:val="00DE5D62"/>
    <w:rsid w:val="00DE62F8"/>
    <w:rsid w:val="00DE6313"/>
    <w:rsid w:val="00DE6BC9"/>
    <w:rsid w:val="00DE6C5A"/>
    <w:rsid w:val="00DE7606"/>
    <w:rsid w:val="00DE7CC4"/>
    <w:rsid w:val="00DE7DD6"/>
    <w:rsid w:val="00DF0130"/>
    <w:rsid w:val="00DF0135"/>
    <w:rsid w:val="00DF1E53"/>
    <w:rsid w:val="00DF271D"/>
    <w:rsid w:val="00DF2A5E"/>
    <w:rsid w:val="00DF3646"/>
    <w:rsid w:val="00DF406D"/>
    <w:rsid w:val="00DF4C1F"/>
    <w:rsid w:val="00DF4CB3"/>
    <w:rsid w:val="00DF5538"/>
    <w:rsid w:val="00DF5AB6"/>
    <w:rsid w:val="00DF5B6E"/>
    <w:rsid w:val="00DF5E65"/>
    <w:rsid w:val="00DF5FCB"/>
    <w:rsid w:val="00DF615B"/>
    <w:rsid w:val="00DF62E0"/>
    <w:rsid w:val="00DF630C"/>
    <w:rsid w:val="00DF6532"/>
    <w:rsid w:val="00DF6748"/>
    <w:rsid w:val="00DF6B14"/>
    <w:rsid w:val="00DF6BA8"/>
    <w:rsid w:val="00DF6C49"/>
    <w:rsid w:val="00DF715E"/>
    <w:rsid w:val="00DF718E"/>
    <w:rsid w:val="00DF74B3"/>
    <w:rsid w:val="00DF7A99"/>
    <w:rsid w:val="00DF7F55"/>
    <w:rsid w:val="00E00493"/>
    <w:rsid w:val="00E0066B"/>
    <w:rsid w:val="00E009E6"/>
    <w:rsid w:val="00E0109C"/>
    <w:rsid w:val="00E012D0"/>
    <w:rsid w:val="00E013BB"/>
    <w:rsid w:val="00E017C0"/>
    <w:rsid w:val="00E017D9"/>
    <w:rsid w:val="00E01BB4"/>
    <w:rsid w:val="00E02328"/>
    <w:rsid w:val="00E02428"/>
    <w:rsid w:val="00E02D20"/>
    <w:rsid w:val="00E02FA2"/>
    <w:rsid w:val="00E03BBD"/>
    <w:rsid w:val="00E04040"/>
    <w:rsid w:val="00E043ED"/>
    <w:rsid w:val="00E04836"/>
    <w:rsid w:val="00E04C76"/>
    <w:rsid w:val="00E05088"/>
    <w:rsid w:val="00E056DB"/>
    <w:rsid w:val="00E059AA"/>
    <w:rsid w:val="00E05F6C"/>
    <w:rsid w:val="00E0615F"/>
    <w:rsid w:val="00E06575"/>
    <w:rsid w:val="00E06DC9"/>
    <w:rsid w:val="00E06DD8"/>
    <w:rsid w:val="00E06E8C"/>
    <w:rsid w:val="00E0712F"/>
    <w:rsid w:val="00E0725E"/>
    <w:rsid w:val="00E0732F"/>
    <w:rsid w:val="00E07570"/>
    <w:rsid w:val="00E077F6"/>
    <w:rsid w:val="00E07985"/>
    <w:rsid w:val="00E07C60"/>
    <w:rsid w:val="00E10149"/>
    <w:rsid w:val="00E10785"/>
    <w:rsid w:val="00E10831"/>
    <w:rsid w:val="00E10C1C"/>
    <w:rsid w:val="00E10DFD"/>
    <w:rsid w:val="00E10EF0"/>
    <w:rsid w:val="00E10F79"/>
    <w:rsid w:val="00E11389"/>
    <w:rsid w:val="00E113FB"/>
    <w:rsid w:val="00E11F9D"/>
    <w:rsid w:val="00E11FB9"/>
    <w:rsid w:val="00E123DC"/>
    <w:rsid w:val="00E12404"/>
    <w:rsid w:val="00E1242D"/>
    <w:rsid w:val="00E12D72"/>
    <w:rsid w:val="00E1315A"/>
    <w:rsid w:val="00E13551"/>
    <w:rsid w:val="00E135DD"/>
    <w:rsid w:val="00E13CA3"/>
    <w:rsid w:val="00E13E85"/>
    <w:rsid w:val="00E140DF"/>
    <w:rsid w:val="00E14B77"/>
    <w:rsid w:val="00E14E36"/>
    <w:rsid w:val="00E14F9E"/>
    <w:rsid w:val="00E155E9"/>
    <w:rsid w:val="00E156CB"/>
    <w:rsid w:val="00E15D69"/>
    <w:rsid w:val="00E16426"/>
    <w:rsid w:val="00E165A4"/>
    <w:rsid w:val="00E165CF"/>
    <w:rsid w:val="00E16A46"/>
    <w:rsid w:val="00E17109"/>
    <w:rsid w:val="00E1794A"/>
    <w:rsid w:val="00E17D8D"/>
    <w:rsid w:val="00E20015"/>
    <w:rsid w:val="00E202AF"/>
    <w:rsid w:val="00E2062B"/>
    <w:rsid w:val="00E20CD7"/>
    <w:rsid w:val="00E21294"/>
    <w:rsid w:val="00E21299"/>
    <w:rsid w:val="00E21580"/>
    <w:rsid w:val="00E21871"/>
    <w:rsid w:val="00E21C2A"/>
    <w:rsid w:val="00E2203B"/>
    <w:rsid w:val="00E2275A"/>
    <w:rsid w:val="00E229D9"/>
    <w:rsid w:val="00E22B10"/>
    <w:rsid w:val="00E23111"/>
    <w:rsid w:val="00E235FA"/>
    <w:rsid w:val="00E23729"/>
    <w:rsid w:val="00E2380E"/>
    <w:rsid w:val="00E238A6"/>
    <w:rsid w:val="00E23CAA"/>
    <w:rsid w:val="00E23E28"/>
    <w:rsid w:val="00E23F95"/>
    <w:rsid w:val="00E2414E"/>
    <w:rsid w:val="00E249ED"/>
    <w:rsid w:val="00E24CE7"/>
    <w:rsid w:val="00E250EF"/>
    <w:rsid w:val="00E25332"/>
    <w:rsid w:val="00E25798"/>
    <w:rsid w:val="00E25818"/>
    <w:rsid w:val="00E25B41"/>
    <w:rsid w:val="00E25C27"/>
    <w:rsid w:val="00E25EA3"/>
    <w:rsid w:val="00E25F8E"/>
    <w:rsid w:val="00E26028"/>
    <w:rsid w:val="00E2619C"/>
    <w:rsid w:val="00E261F7"/>
    <w:rsid w:val="00E262C7"/>
    <w:rsid w:val="00E26523"/>
    <w:rsid w:val="00E26EE8"/>
    <w:rsid w:val="00E27199"/>
    <w:rsid w:val="00E2755F"/>
    <w:rsid w:val="00E276AD"/>
    <w:rsid w:val="00E27E7B"/>
    <w:rsid w:val="00E302B6"/>
    <w:rsid w:val="00E30AAD"/>
    <w:rsid w:val="00E30E41"/>
    <w:rsid w:val="00E30FA6"/>
    <w:rsid w:val="00E31068"/>
    <w:rsid w:val="00E328D3"/>
    <w:rsid w:val="00E32BC8"/>
    <w:rsid w:val="00E32CE0"/>
    <w:rsid w:val="00E32D45"/>
    <w:rsid w:val="00E33222"/>
    <w:rsid w:val="00E334BE"/>
    <w:rsid w:val="00E335F5"/>
    <w:rsid w:val="00E336C1"/>
    <w:rsid w:val="00E33C28"/>
    <w:rsid w:val="00E347AB"/>
    <w:rsid w:val="00E34A68"/>
    <w:rsid w:val="00E34D2D"/>
    <w:rsid w:val="00E35490"/>
    <w:rsid w:val="00E355B2"/>
    <w:rsid w:val="00E356B4"/>
    <w:rsid w:val="00E3636C"/>
    <w:rsid w:val="00E368EF"/>
    <w:rsid w:val="00E36AC1"/>
    <w:rsid w:val="00E36AFB"/>
    <w:rsid w:val="00E36B6D"/>
    <w:rsid w:val="00E36EF6"/>
    <w:rsid w:val="00E3731D"/>
    <w:rsid w:val="00E37CC1"/>
    <w:rsid w:val="00E37DF0"/>
    <w:rsid w:val="00E40C54"/>
    <w:rsid w:val="00E40F61"/>
    <w:rsid w:val="00E41114"/>
    <w:rsid w:val="00E41E26"/>
    <w:rsid w:val="00E42341"/>
    <w:rsid w:val="00E424C9"/>
    <w:rsid w:val="00E4257C"/>
    <w:rsid w:val="00E42646"/>
    <w:rsid w:val="00E42CDD"/>
    <w:rsid w:val="00E436D6"/>
    <w:rsid w:val="00E43F1E"/>
    <w:rsid w:val="00E4424B"/>
    <w:rsid w:val="00E44B9C"/>
    <w:rsid w:val="00E44C60"/>
    <w:rsid w:val="00E4551F"/>
    <w:rsid w:val="00E45606"/>
    <w:rsid w:val="00E45685"/>
    <w:rsid w:val="00E45E4D"/>
    <w:rsid w:val="00E45EFD"/>
    <w:rsid w:val="00E4619A"/>
    <w:rsid w:val="00E4621A"/>
    <w:rsid w:val="00E470C5"/>
    <w:rsid w:val="00E47514"/>
    <w:rsid w:val="00E47782"/>
    <w:rsid w:val="00E50182"/>
    <w:rsid w:val="00E503BA"/>
    <w:rsid w:val="00E506E7"/>
    <w:rsid w:val="00E50BB5"/>
    <w:rsid w:val="00E52240"/>
    <w:rsid w:val="00E52316"/>
    <w:rsid w:val="00E525B8"/>
    <w:rsid w:val="00E52B4C"/>
    <w:rsid w:val="00E52E78"/>
    <w:rsid w:val="00E53B79"/>
    <w:rsid w:val="00E53E23"/>
    <w:rsid w:val="00E54062"/>
    <w:rsid w:val="00E54695"/>
    <w:rsid w:val="00E54A79"/>
    <w:rsid w:val="00E55394"/>
    <w:rsid w:val="00E55569"/>
    <w:rsid w:val="00E5599E"/>
    <w:rsid w:val="00E55E67"/>
    <w:rsid w:val="00E55F0E"/>
    <w:rsid w:val="00E55F3A"/>
    <w:rsid w:val="00E56703"/>
    <w:rsid w:val="00E567AD"/>
    <w:rsid w:val="00E568D3"/>
    <w:rsid w:val="00E56CDF"/>
    <w:rsid w:val="00E56E45"/>
    <w:rsid w:val="00E57276"/>
    <w:rsid w:val="00E5734B"/>
    <w:rsid w:val="00E578E2"/>
    <w:rsid w:val="00E5797F"/>
    <w:rsid w:val="00E57A74"/>
    <w:rsid w:val="00E57D4A"/>
    <w:rsid w:val="00E57FC8"/>
    <w:rsid w:val="00E6013A"/>
    <w:rsid w:val="00E60602"/>
    <w:rsid w:val="00E60716"/>
    <w:rsid w:val="00E612EA"/>
    <w:rsid w:val="00E6181D"/>
    <w:rsid w:val="00E61911"/>
    <w:rsid w:val="00E61C5A"/>
    <w:rsid w:val="00E61D09"/>
    <w:rsid w:val="00E61FB7"/>
    <w:rsid w:val="00E6241F"/>
    <w:rsid w:val="00E6257C"/>
    <w:rsid w:val="00E626AA"/>
    <w:rsid w:val="00E6273F"/>
    <w:rsid w:val="00E62E01"/>
    <w:rsid w:val="00E63004"/>
    <w:rsid w:val="00E63298"/>
    <w:rsid w:val="00E634C8"/>
    <w:rsid w:val="00E634CC"/>
    <w:rsid w:val="00E645E7"/>
    <w:rsid w:val="00E64CA4"/>
    <w:rsid w:val="00E65254"/>
    <w:rsid w:val="00E6534F"/>
    <w:rsid w:val="00E65740"/>
    <w:rsid w:val="00E66053"/>
    <w:rsid w:val="00E667EA"/>
    <w:rsid w:val="00E67272"/>
    <w:rsid w:val="00E67652"/>
    <w:rsid w:val="00E67859"/>
    <w:rsid w:val="00E679AE"/>
    <w:rsid w:val="00E67A1A"/>
    <w:rsid w:val="00E67CCE"/>
    <w:rsid w:val="00E706D0"/>
    <w:rsid w:val="00E70707"/>
    <w:rsid w:val="00E70819"/>
    <w:rsid w:val="00E70BE4"/>
    <w:rsid w:val="00E70ECF"/>
    <w:rsid w:val="00E712F8"/>
    <w:rsid w:val="00E714FE"/>
    <w:rsid w:val="00E71553"/>
    <w:rsid w:val="00E71ADB"/>
    <w:rsid w:val="00E71D1E"/>
    <w:rsid w:val="00E72A4D"/>
    <w:rsid w:val="00E72B4F"/>
    <w:rsid w:val="00E72FD6"/>
    <w:rsid w:val="00E73510"/>
    <w:rsid w:val="00E73A45"/>
    <w:rsid w:val="00E73CAB"/>
    <w:rsid w:val="00E73D64"/>
    <w:rsid w:val="00E7415E"/>
    <w:rsid w:val="00E74649"/>
    <w:rsid w:val="00E75747"/>
    <w:rsid w:val="00E75E5B"/>
    <w:rsid w:val="00E75F30"/>
    <w:rsid w:val="00E75FD1"/>
    <w:rsid w:val="00E7624D"/>
    <w:rsid w:val="00E765E2"/>
    <w:rsid w:val="00E76EC0"/>
    <w:rsid w:val="00E76ED7"/>
    <w:rsid w:val="00E770BB"/>
    <w:rsid w:val="00E80398"/>
    <w:rsid w:val="00E8075D"/>
    <w:rsid w:val="00E807A7"/>
    <w:rsid w:val="00E8093B"/>
    <w:rsid w:val="00E809EE"/>
    <w:rsid w:val="00E811D9"/>
    <w:rsid w:val="00E814FB"/>
    <w:rsid w:val="00E81AE0"/>
    <w:rsid w:val="00E81B41"/>
    <w:rsid w:val="00E81B56"/>
    <w:rsid w:val="00E82026"/>
    <w:rsid w:val="00E82BD9"/>
    <w:rsid w:val="00E834DC"/>
    <w:rsid w:val="00E839EB"/>
    <w:rsid w:val="00E83F64"/>
    <w:rsid w:val="00E844B0"/>
    <w:rsid w:val="00E84735"/>
    <w:rsid w:val="00E849AC"/>
    <w:rsid w:val="00E84A6B"/>
    <w:rsid w:val="00E84B68"/>
    <w:rsid w:val="00E84C27"/>
    <w:rsid w:val="00E84CC9"/>
    <w:rsid w:val="00E84D63"/>
    <w:rsid w:val="00E84F6B"/>
    <w:rsid w:val="00E8553D"/>
    <w:rsid w:val="00E86197"/>
    <w:rsid w:val="00E86993"/>
    <w:rsid w:val="00E86999"/>
    <w:rsid w:val="00E86C01"/>
    <w:rsid w:val="00E87253"/>
    <w:rsid w:val="00E87624"/>
    <w:rsid w:val="00E90220"/>
    <w:rsid w:val="00E90402"/>
    <w:rsid w:val="00E90C36"/>
    <w:rsid w:val="00E90CE4"/>
    <w:rsid w:val="00E911EF"/>
    <w:rsid w:val="00E9125B"/>
    <w:rsid w:val="00E914EE"/>
    <w:rsid w:val="00E91694"/>
    <w:rsid w:val="00E92020"/>
    <w:rsid w:val="00E92234"/>
    <w:rsid w:val="00E927DF"/>
    <w:rsid w:val="00E92B1D"/>
    <w:rsid w:val="00E93865"/>
    <w:rsid w:val="00E94696"/>
    <w:rsid w:val="00E9469B"/>
    <w:rsid w:val="00E94CE7"/>
    <w:rsid w:val="00E94ED0"/>
    <w:rsid w:val="00E952B4"/>
    <w:rsid w:val="00E9545F"/>
    <w:rsid w:val="00E95735"/>
    <w:rsid w:val="00E95783"/>
    <w:rsid w:val="00E959C1"/>
    <w:rsid w:val="00E95B22"/>
    <w:rsid w:val="00E95BA2"/>
    <w:rsid w:val="00E95EB4"/>
    <w:rsid w:val="00E95ECA"/>
    <w:rsid w:val="00E963E1"/>
    <w:rsid w:val="00E96515"/>
    <w:rsid w:val="00E96637"/>
    <w:rsid w:val="00E9681F"/>
    <w:rsid w:val="00E96C74"/>
    <w:rsid w:val="00E96E64"/>
    <w:rsid w:val="00E97542"/>
    <w:rsid w:val="00E97D92"/>
    <w:rsid w:val="00EA03C9"/>
    <w:rsid w:val="00EA0451"/>
    <w:rsid w:val="00EA0B29"/>
    <w:rsid w:val="00EA0CCA"/>
    <w:rsid w:val="00EA1450"/>
    <w:rsid w:val="00EA175F"/>
    <w:rsid w:val="00EA199F"/>
    <w:rsid w:val="00EA1FF2"/>
    <w:rsid w:val="00EA2277"/>
    <w:rsid w:val="00EA26CF"/>
    <w:rsid w:val="00EA29B6"/>
    <w:rsid w:val="00EA2B93"/>
    <w:rsid w:val="00EA2C8A"/>
    <w:rsid w:val="00EA34E6"/>
    <w:rsid w:val="00EA403D"/>
    <w:rsid w:val="00EA4372"/>
    <w:rsid w:val="00EA4697"/>
    <w:rsid w:val="00EA4CA1"/>
    <w:rsid w:val="00EA5446"/>
    <w:rsid w:val="00EA57A0"/>
    <w:rsid w:val="00EA5EDC"/>
    <w:rsid w:val="00EA6336"/>
    <w:rsid w:val="00EA67FC"/>
    <w:rsid w:val="00EA68E4"/>
    <w:rsid w:val="00EA78CB"/>
    <w:rsid w:val="00EA7E1E"/>
    <w:rsid w:val="00EB055C"/>
    <w:rsid w:val="00EB07B7"/>
    <w:rsid w:val="00EB08B7"/>
    <w:rsid w:val="00EB1193"/>
    <w:rsid w:val="00EB1F81"/>
    <w:rsid w:val="00EB2160"/>
    <w:rsid w:val="00EB21E2"/>
    <w:rsid w:val="00EB2386"/>
    <w:rsid w:val="00EB2418"/>
    <w:rsid w:val="00EB2667"/>
    <w:rsid w:val="00EB28C1"/>
    <w:rsid w:val="00EB2950"/>
    <w:rsid w:val="00EB2C2A"/>
    <w:rsid w:val="00EB2C82"/>
    <w:rsid w:val="00EB3382"/>
    <w:rsid w:val="00EB33E7"/>
    <w:rsid w:val="00EB347F"/>
    <w:rsid w:val="00EB3821"/>
    <w:rsid w:val="00EB3EFB"/>
    <w:rsid w:val="00EB4296"/>
    <w:rsid w:val="00EB478C"/>
    <w:rsid w:val="00EB4F79"/>
    <w:rsid w:val="00EB5101"/>
    <w:rsid w:val="00EB53BD"/>
    <w:rsid w:val="00EB5817"/>
    <w:rsid w:val="00EB5E8B"/>
    <w:rsid w:val="00EB5EBE"/>
    <w:rsid w:val="00EB648D"/>
    <w:rsid w:val="00EB67BD"/>
    <w:rsid w:val="00EB6C62"/>
    <w:rsid w:val="00EB7557"/>
    <w:rsid w:val="00EB75A5"/>
    <w:rsid w:val="00EB761B"/>
    <w:rsid w:val="00EB7BA6"/>
    <w:rsid w:val="00EC0051"/>
    <w:rsid w:val="00EC0975"/>
    <w:rsid w:val="00EC0B2C"/>
    <w:rsid w:val="00EC0CAE"/>
    <w:rsid w:val="00EC0D79"/>
    <w:rsid w:val="00EC169F"/>
    <w:rsid w:val="00EC191F"/>
    <w:rsid w:val="00EC1991"/>
    <w:rsid w:val="00EC1B62"/>
    <w:rsid w:val="00EC1BC5"/>
    <w:rsid w:val="00EC1F10"/>
    <w:rsid w:val="00EC2381"/>
    <w:rsid w:val="00EC29F6"/>
    <w:rsid w:val="00EC2F4B"/>
    <w:rsid w:val="00EC3483"/>
    <w:rsid w:val="00EC3702"/>
    <w:rsid w:val="00EC37B7"/>
    <w:rsid w:val="00EC3E40"/>
    <w:rsid w:val="00EC449B"/>
    <w:rsid w:val="00EC45F6"/>
    <w:rsid w:val="00EC497B"/>
    <w:rsid w:val="00EC4B4D"/>
    <w:rsid w:val="00EC4D6C"/>
    <w:rsid w:val="00EC54F6"/>
    <w:rsid w:val="00EC6CCC"/>
    <w:rsid w:val="00EC6D4E"/>
    <w:rsid w:val="00EC7C53"/>
    <w:rsid w:val="00EC7EA9"/>
    <w:rsid w:val="00ED03ED"/>
    <w:rsid w:val="00ED0AF4"/>
    <w:rsid w:val="00ED0F56"/>
    <w:rsid w:val="00ED228A"/>
    <w:rsid w:val="00ED229A"/>
    <w:rsid w:val="00ED281C"/>
    <w:rsid w:val="00ED28CE"/>
    <w:rsid w:val="00ED2B98"/>
    <w:rsid w:val="00ED2BEC"/>
    <w:rsid w:val="00ED3594"/>
    <w:rsid w:val="00ED36A8"/>
    <w:rsid w:val="00ED3C05"/>
    <w:rsid w:val="00ED3E98"/>
    <w:rsid w:val="00ED3F4C"/>
    <w:rsid w:val="00ED451A"/>
    <w:rsid w:val="00ED4977"/>
    <w:rsid w:val="00ED4B35"/>
    <w:rsid w:val="00ED4E44"/>
    <w:rsid w:val="00ED4F35"/>
    <w:rsid w:val="00ED52E8"/>
    <w:rsid w:val="00ED554A"/>
    <w:rsid w:val="00ED600C"/>
    <w:rsid w:val="00ED6059"/>
    <w:rsid w:val="00ED633F"/>
    <w:rsid w:val="00ED6C06"/>
    <w:rsid w:val="00ED727C"/>
    <w:rsid w:val="00ED72CB"/>
    <w:rsid w:val="00ED73A6"/>
    <w:rsid w:val="00ED76C2"/>
    <w:rsid w:val="00ED7A4C"/>
    <w:rsid w:val="00ED7F17"/>
    <w:rsid w:val="00EE0AC2"/>
    <w:rsid w:val="00EE0EA8"/>
    <w:rsid w:val="00EE0F20"/>
    <w:rsid w:val="00EE1171"/>
    <w:rsid w:val="00EE140B"/>
    <w:rsid w:val="00EE14F3"/>
    <w:rsid w:val="00EE2675"/>
    <w:rsid w:val="00EE277F"/>
    <w:rsid w:val="00EE3029"/>
    <w:rsid w:val="00EE32FB"/>
    <w:rsid w:val="00EE34F3"/>
    <w:rsid w:val="00EE35BA"/>
    <w:rsid w:val="00EE3DA5"/>
    <w:rsid w:val="00EE41D2"/>
    <w:rsid w:val="00EE4295"/>
    <w:rsid w:val="00EE4335"/>
    <w:rsid w:val="00EE43B9"/>
    <w:rsid w:val="00EE47DB"/>
    <w:rsid w:val="00EE485C"/>
    <w:rsid w:val="00EE4AEC"/>
    <w:rsid w:val="00EE4B4A"/>
    <w:rsid w:val="00EE5447"/>
    <w:rsid w:val="00EE5505"/>
    <w:rsid w:val="00EE5687"/>
    <w:rsid w:val="00EE5A7B"/>
    <w:rsid w:val="00EE5D05"/>
    <w:rsid w:val="00EE5E38"/>
    <w:rsid w:val="00EE6295"/>
    <w:rsid w:val="00EE6329"/>
    <w:rsid w:val="00EE66CB"/>
    <w:rsid w:val="00EE692E"/>
    <w:rsid w:val="00EE6BC8"/>
    <w:rsid w:val="00EE6E41"/>
    <w:rsid w:val="00EE7210"/>
    <w:rsid w:val="00EE75D5"/>
    <w:rsid w:val="00EE77A2"/>
    <w:rsid w:val="00EE7B8E"/>
    <w:rsid w:val="00EF0067"/>
    <w:rsid w:val="00EF04B7"/>
    <w:rsid w:val="00EF05BA"/>
    <w:rsid w:val="00EF0CD4"/>
    <w:rsid w:val="00EF148C"/>
    <w:rsid w:val="00EF14CD"/>
    <w:rsid w:val="00EF1610"/>
    <w:rsid w:val="00EF1AF5"/>
    <w:rsid w:val="00EF1B15"/>
    <w:rsid w:val="00EF1D42"/>
    <w:rsid w:val="00EF1EF6"/>
    <w:rsid w:val="00EF2124"/>
    <w:rsid w:val="00EF254B"/>
    <w:rsid w:val="00EF2789"/>
    <w:rsid w:val="00EF292F"/>
    <w:rsid w:val="00EF2C5F"/>
    <w:rsid w:val="00EF38F3"/>
    <w:rsid w:val="00EF39DC"/>
    <w:rsid w:val="00EF3C71"/>
    <w:rsid w:val="00EF3D89"/>
    <w:rsid w:val="00EF4CA4"/>
    <w:rsid w:val="00EF4CA8"/>
    <w:rsid w:val="00EF4E91"/>
    <w:rsid w:val="00EF5586"/>
    <w:rsid w:val="00EF56D7"/>
    <w:rsid w:val="00EF5D17"/>
    <w:rsid w:val="00EF5D3E"/>
    <w:rsid w:val="00EF6363"/>
    <w:rsid w:val="00EF682F"/>
    <w:rsid w:val="00EF6E1B"/>
    <w:rsid w:val="00EF75B9"/>
    <w:rsid w:val="00EF7A72"/>
    <w:rsid w:val="00F00000"/>
    <w:rsid w:val="00F000B3"/>
    <w:rsid w:val="00F005F4"/>
    <w:rsid w:val="00F00BF7"/>
    <w:rsid w:val="00F00CB6"/>
    <w:rsid w:val="00F00E08"/>
    <w:rsid w:val="00F01B43"/>
    <w:rsid w:val="00F01CD5"/>
    <w:rsid w:val="00F01E23"/>
    <w:rsid w:val="00F02056"/>
    <w:rsid w:val="00F021E1"/>
    <w:rsid w:val="00F02D2E"/>
    <w:rsid w:val="00F03176"/>
    <w:rsid w:val="00F03770"/>
    <w:rsid w:val="00F0388D"/>
    <w:rsid w:val="00F03EC0"/>
    <w:rsid w:val="00F0423C"/>
    <w:rsid w:val="00F04523"/>
    <w:rsid w:val="00F04805"/>
    <w:rsid w:val="00F04987"/>
    <w:rsid w:val="00F04AB6"/>
    <w:rsid w:val="00F050A5"/>
    <w:rsid w:val="00F0530D"/>
    <w:rsid w:val="00F05AA3"/>
    <w:rsid w:val="00F05D02"/>
    <w:rsid w:val="00F05F82"/>
    <w:rsid w:val="00F06ED9"/>
    <w:rsid w:val="00F06F22"/>
    <w:rsid w:val="00F073DB"/>
    <w:rsid w:val="00F0746C"/>
    <w:rsid w:val="00F07B5A"/>
    <w:rsid w:val="00F07C32"/>
    <w:rsid w:val="00F10218"/>
    <w:rsid w:val="00F102C2"/>
    <w:rsid w:val="00F106D2"/>
    <w:rsid w:val="00F109C7"/>
    <w:rsid w:val="00F11496"/>
    <w:rsid w:val="00F114A7"/>
    <w:rsid w:val="00F1175A"/>
    <w:rsid w:val="00F1204B"/>
    <w:rsid w:val="00F12194"/>
    <w:rsid w:val="00F123BA"/>
    <w:rsid w:val="00F12A86"/>
    <w:rsid w:val="00F1386B"/>
    <w:rsid w:val="00F13D65"/>
    <w:rsid w:val="00F14163"/>
    <w:rsid w:val="00F1488F"/>
    <w:rsid w:val="00F14FCB"/>
    <w:rsid w:val="00F150DA"/>
    <w:rsid w:val="00F151A4"/>
    <w:rsid w:val="00F1566F"/>
    <w:rsid w:val="00F15799"/>
    <w:rsid w:val="00F15BDA"/>
    <w:rsid w:val="00F15C6A"/>
    <w:rsid w:val="00F161B7"/>
    <w:rsid w:val="00F16615"/>
    <w:rsid w:val="00F16CCD"/>
    <w:rsid w:val="00F16D59"/>
    <w:rsid w:val="00F16E33"/>
    <w:rsid w:val="00F17198"/>
    <w:rsid w:val="00F17368"/>
    <w:rsid w:val="00F176AC"/>
    <w:rsid w:val="00F17A33"/>
    <w:rsid w:val="00F200CE"/>
    <w:rsid w:val="00F2024F"/>
    <w:rsid w:val="00F20525"/>
    <w:rsid w:val="00F20B84"/>
    <w:rsid w:val="00F2125D"/>
    <w:rsid w:val="00F21B57"/>
    <w:rsid w:val="00F21F17"/>
    <w:rsid w:val="00F22AB9"/>
    <w:rsid w:val="00F23024"/>
    <w:rsid w:val="00F2380C"/>
    <w:rsid w:val="00F23929"/>
    <w:rsid w:val="00F2396F"/>
    <w:rsid w:val="00F23DA2"/>
    <w:rsid w:val="00F243DB"/>
    <w:rsid w:val="00F244AC"/>
    <w:rsid w:val="00F2452B"/>
    <w:rsid w:val="00F2473E"/>
    <w:rsid w:val="00F24D8E"/>
    <w:rsid w:val="00F24FDE"/>
    <w:rsid w:val="00F254D1"/>
    <w:rsid w:val="00F25751"/>
    <w:rsid w:val="00F25D3C"/>
    <w:rsid w:val="00F25F8A"/>
    <w:rsid w:val="00F263AF"/>
    <w:rsid w:val="00F2669E"/>
    <w:rsid w:val="00F26D60"/>
    <w:rsid w:val="00F273D1"/>
    <w:rsid w:val="00F3008E"/>
    <w:rsid w:val="00F303A5"/>
    <w:rsid w:val="00F30B12"/>
    <w:rsid w:val="00F313BC"/>
    <w:rsid w:val="00F317D2"/>
    <w:rsid w:val="00F31A22"/>
    <w:rsid w:val="00F31BF4"/>
    <w:rsid w:val="00F329DF"/>
    <w:rsid w:val="00F32B26"/>
    <w:rsid w:val="00F32B50"/>
    <w:rsid w:val="00F335AF"/>
    <w:rsid w:val="00F337E5"/>
    <w:rsid w:val="00F3385B"/>
    <w:rsid w:val="00F33A17"/>
    <w:rsid w:val="00F33CAA"/>
    <w:rsid w:val="00F348DF"/>
    <w:rsid w:val="00F34D0E"/>
    <w:rsid w:val="00F34F05"/>
    <w:rsid w:val="00F3552D"/>
    <w:rsid w:val="00F357F5"/>
    <w:rsid w:val="00F35B56"/>
    <w:rsid w:val="00F35CF8"/>
    <w:rsid w:val="00F36112"/>
    <w:rsid w:val="00F361A2"/>
    <w:rsid w:val="00F366B3"/>
    <w:rsid w:val="00F36749"/>
    <w:rsid w:val="00F36995"/>
    <w:rsid w:val="00F36BDC"/>
    <w:rsid w:val="00F36F23"/>
    <w:rsid w:val="00F37387"/>
    <w:rsid w:val="00F37687"/>
    <w:rsid w:val="00F40018"/>
    <w:rsid w:val="00F403C4"/>
    <w:rsid w:val="00F40507"/>
    <w:rsid w:val="00F4092B"/>
    <w:rsid w:val="00F411CE"/>
    <w:rsid w:val="00F41B47"/>
    <w:rsid w:val="00F41E96"/>
    <w:rsid w:val="00F420D7"/>
    <w:rsid w:val="00F42361"/>
    <w:rsid w:val="00F4254E"/>
    <w:rsid w:val="00F4281A"/>
    <w:rsid w:val="00F42FA4"/>
    <w:rsid w:val="00F43225"/>
    <w:rsid w:val="00F434CE"/>
    <w:rsid w:val="00F43549"/>
    <w:rsid w:val="00F4367C"/>
    <w:rsid w:val="00F440A0"/>
    <w:rsid w:val="00F44C05"/>
    <w:rsid w:val="00F44DBC"/>
    <w:rsid w:val="00F45158"/>
    <w:rsid w:val="00F4540D"/>
    <w:rsid w:val="00F455CF"/>
    <w:rsid w:val="00F4578A"/>
    <w:rsid w:val="00F45B6C"/>
    <w:rsid w:val="00F45C4F"/>
    <w:rsid w:val="00F45E02"/>
    <w:rsid w:val="00F45F72"/>
    <w:rsid w:val="00F465B1"/>
    <w:rsid w:val="00F466B8"/>
    <w:rsid w:val="00F467D1"/>
    <w:rsid w:val="00F469BA"/>
    <w:rsid w:val="00F4781F"/>
    <w:rsid w:val="00F47AAC"/>
    <w:rsid w:val="00F47C21"/>
    <w:rsid w:val="00F5048E"/>
    <w:rsid w:val="00F50BBB"/>
    <w:rsid w:val="00F510E3"/>
    <w:rsid w:val="00F51468"/>
    <w:rsid w:val="00F5161B"/>
    <w:rsid w:val="00F51635"/>
    <w:rsid w:val="00F51909"/>
    <w:rsid w:val="00F5269B"/>
    <w:rsid w:val="00F52863"/>
    <w:rsid w:val="00F52882"/>
    <w:rsid w:val="00F528E2"/>
    <w:rsid w:val="00F52AAB"/>
    <w:rsid w:val="00F534F8"/>
    <w:rsid w:val="00F53574"/>
    <w:rsid w:val="00F5360D"/>
    <w:rsid w:val="00F53710"/>
    <w:rsid w:val="00F54227"/>
    <w:rsid w:val="00F556BB"/>
    <w:rsid w:val="00F55874"/>
    <w:rsid w:val="00F55A8D"/>
    <w:rsid w:val="00F565AB"/>
    <w:rsid w:val="00F56625"/>
    <w:rsid w:val="00F56BF1"/>
    <w:rsid w:val="00F56D4D"/>
    <w:rsid w:val="00F5710C"/>
    <w:rsid w:val="00F5758C"/>
    <w:rsid w:val="00F57AD0"/>
    <w:rsid w:val="00F57D3E"/>
    <w:rsid w:val="00F57F30"/>
    <w:rsid w:val="00F60368"/>
    <w:rsid w:val="00F605E3"/>
    <w:rsid w:val="00F6064B"/>
    <w:rsid w:val="00F61198"/>
    <w:rsid w:val="00F614AC"/>
    <w:rsid w:val="00F6151E"/>
    <w:rsid w:val="00F617FE"/>
    <w:rsid w:val="00F61917"/>
    <w:rsid w:val="00F619AD"/>
    <w:rsid w:val="00F61AC1"/>
    <w:rsid w:val="00F61D5B"/>
    <w:rsid w:val="00F62EDD"/>
    <w:rsid w:val="00F63015"/>
    <w:rsid w:val="00F63F7F"/>
    <w:rsid w:val="00F640D7"/>
    <w:rsid w:val="00F645FB"/>
    <w:rsid w:val="00F646B6"/>
    <w:rsid w:val="00F64F53"/>
    <w:rsid w:val="00F65153"/>
    <w:rsid w:val="00F6541B"/>
    <w:rsid w:val="00F669E2"/>
    <w:rsid w:val="00F66EB2"/>
    <w:rsid w:val="00F67298"/>
    <w:rsid w:val="00F674A7"/>
    <w:rsid w:val="00F675A4"/>
    <w:rsid w:val="00F6790F"/>
    <w:rsid w:val="00F67B5C"/>
    <w:rsid w:val="00F67BBF"/>
    <w:rsid w:val="00F67DE1"/>
    <w:rsid w:val="00F67E07"/>
    <w:rsid w:val="00F70243"/>
    <w:rsid w:val="00F7096C"/>
    <w:rsid w:val="00F70A48"/>
    <w:rsid w:val="00F70C1A"/>
    <w:rsid w:val="00F70CBB"/>
    <w:rsid w:val="00F71627"/>
    <w:rsid w:val="00F71A7B"/>
    <w:rsid w:val="00F71C63"/>
    <w:rsid w:val="00F71D0D"/>
    <w:rsid w:val="00F71DE3"/>
    <w:rsid w:val="00F71FCC"/>
    <w:rsid w:val="00F72167"/>
    <w:rsid w:val="00F7236B"/>
    <w:rsid w:val="00F726AF"/>
    <w:rsid w:val="00F7276E"/>
    <w:rsid w:val="00F7283D"/>
    <w:rsid w:val="00F72F92"/>
    <w:rsid w:val="00F73E0E"/>
    <w:rsid w:val="00F73EEB"/>
    <w:rsid w:val="00F73F4C"/>
    <w:rsid w:val="00F7420C"/>
    <w:rsid w:val="00F74352"/>
    <w:rsid w:val="00F744A2"/>
    <w:rsid w:val="00F74908"/>
    <w:rsid w:val="00F7511B"/>
    <w:rsid w:val="00F752F6"/>
    <w:rsid w:val="00F754EF"/>
    <w:rsid w:val="00F75B37"/>
    <w:rsid w:val="00F75C1B"/>
    <w:rsid w:val="00F75D22"/>
    <w:rsid w:val="00F763E2"/>
    <w:rsid w:val="00F76409"/>
    <w:rsid w:val="00F77191"/>
    <w:rsid w:val="00F775EE"/>
    <w:rsid w:val="00F77B80"/>
    <w:rsid w:val="00F77D3A"/>
    <w:rsid w:val="00F804A7"/>
    <w:rsid w:val="00F80D1D"/>
    <w:rsid w:val="00F81154"/>
    <w:rsid w:val="00F814FD"/>
    <w:rsid w:val="00F8157C"/>
    <w:rsid w:val="00F81AD7"/>
    <w:rsid w:val="00F81DBB"/>
    <w:rsid w:val="00F82659"/>
    <w:rsid w:val="00F83500"/>
    <w:rsid w:val="00F839FB"/>
    <w:rsid w:val="00F84285"/>
    <w:rsid w:val="00F84385"/>
    <w:rsid w:val="00F844DF"/>
    <w:rsid w:val="00F84741"/>
    <w:rsid w:val="00F8495E"/>
    <w:rsid w:val="00F84977"/>
    <w:rsid w:val="00F849C9"/>
    <w:rsid w:val="00F84B56"/>
    <w:rsid w:val="00F84C05"/>
    <w:rsid w:val="00F84C88"/>
    <w:rsid w:val="00F84DA2"/>
    <w:rsid w:val="00F85449"/>
    <w:rsid w:val="00F85568"/>
    <w:rsid w:val="00F869EB"/>
    <w:rsid w:val="00F870FE"/>
    <w:rsid w:val="00F87220"/>
    <w:rsid w:val="00F8752E"/>
    <w:rsid w:val="00F87532"/>
    <w:rsid w:val="00F87857"/>
    <w:rsid w:val="00F87D77"/>
    <w:rsid w:val="00F905D4"/>
    <w:rsid w:val="00F9062A"/>
    <w:rsid w:val="00F90E1C"/>
    <w:rsid w:val="00F91962"/>
    <w:rsid w:val="00F91BBD"/>
    <w:rsid w:val="00F92C7A"/>
    <w:rsid w:val="00F92CDA"/>
    <w:rsid w:val="00F93DC0"/>
    <w:rsid w:val="00F93E81"/>
    <w:rsid w:val="00F94514"/>
    <w:rsid w:val="00F94C05"/>
    <w:rsid w:val="00F95392"/>
    <w:rsid w:val="00F9592A"/>
    <w:rsid w:val="00F95B7B"/>
    <w:rsid w:val="00F95BD6"/>
    <w:rsid w:val="00F95BEC"/>
    <w:rsid w:val="00F95D8E"/>
    <w:rsid w:val="00F963AE"/>
    <w:rsid w:val="00F963D3"/>
    <w:rsid w:val="00F9653C"/>
    <w:rsid w:val="00F965E4"/>
    <w:rsid w:val="00F967C8"/>
    <w:rsid w:val="00F96D87"/>
    <w:rsid w:val="00F9742D"/>
    <w:rsid w:val="00F97886"/>
    <w:rsid w:val="00FA00F7"/>
    <w:rsid w:val="00FA0831"/>
    <w:rsid w:val="00FA1339"/>
    <w:rsid w:val="00FA1B39"/>
    <w:rsid w:val="00FA1DB2"/>
    <w:rsid w:val="00FA1E38"/>
    <w:rsid w:val="00FA2B3D"/>
    <w:rsid w:val="00FA3D0C"/>
    <w:rsid w:val="00FA4631"/>
    <w:rsid w:val="00FA4992"/>
    <w:rsid w:val="00FA4A71"/>
    <w:rsid w:val="00FA4BED"/>
    <w:rsid w:val="00FA4F96"/>
    <w:rsid w:val="00FA5955"/>
    <w:rsid w:val="00FA6878"/>
    <w:rsid w:val="00FA6A04"/>
    <w:rsid w:val="00FA6A0C"/>
    <w:rsid w:val="00FA6A72"/>
    <w:rsid w:val="00FA6D1C"/>
    <w:rsid w:val="00FA6E23"/>
    <w:rsid w:val="00FA6F78"/>
    <w:rsid w:val="00FA779D"/>
    <w:rsid w:val="00FA78D0"/>
    <w:rsid w:val="00FA7ECE"/>
    <w:rsid w:val="00FA7F21"/>
    <w:rsid w:val="00FA7F9F"/>
    <w:rsid w:val="00FB0295"/>
    <w:rsid w:val="00FB0361"/>
    <w:rsid w:val="00FB05B3"/>
    <w:rsid w:val="00FB076C"/>
    <w:rsid w:val="00FB0CCE"/>
    <w:rsid w:val="00FB0E51"/>
    <w:rsid w:val="00FB108E"/>
    <w:rsid w:val="00FB17AD"/>
    <w:rsid w:val="00FB1B12"/>
    <w:rsid w:val="00FB2CC9"/>
    <w:rsid w:val="00FB3137"/>
    <w:rsid w:val="00FB336A"/>
    <w:rsid w:val="00FB3380"/>
    <w:rsid w:val="00FB35C8"/>
    <w:rsid w:val="00FB3EA7"/>
    <w:rsid w:val="00FB4168"/>
    <w:rsid w:val="00FB4B52"/>
    <w:rsid w:val="00FB53C0"/>
    <w:rsid w:val="00FB553B"/>
    <w:rsid w:val="00FB57B8"/>
    <w:rsid w:val="00FB5B75"/>
    <w:rsid w:val="00FB62F4"/>
    <w:rsid w:val="00FB6307"/>
    <w:rsid w:val="00FB63F8"/>
    <w:rsid w:val="00FB6A6A"/>
    <w:rsid w:val="00FB6AAE"/>
    <w:rsid w:val="00FB6BB9"/>
    <w:rsid w:val="00FB6F51"/>
    <w:rsid w:val="00FB70D0"/>
    <w:rsid w:val="00FB7211"/>
    <w:rsid w:val="00FB79B9"/>
    <w:rsid w:val="00FB7FB3"/>
    <w:rsid w:val="00FC0010"/>
    <w:rsid w:val="00FC005C"/>
    <w:rsid w:val="00FC0338"/>
    <w:rsid w:val="00FC0392"/>
    <w:rsid w:val="00FC05FD"/>
    <w:rsid w:val="00FC0A80"/>
    <w:rsid w:val="00FC14E9"/>
    <w:rsid w:val="00FC1FCF"/>
    <w:rsid w:val="00FC2172"/>
    <w:rsid w:val="00FC22DF"/>
    <w:rsid w:val="00FC2A7C"/>
    <w:rsid w:val="00FC2E6F"/>
    <w:rsid w:val="00FC3347"/>
    <w:rsid w:val="00FC34C0"/>
    <w:rsid w:val="00FC360C"/>
    <w:rsid w:val="00FC3EFE"/>
    <w:rsid w:val="00FC3F5B"/>
    <w:rsid w:val="00FC4096"/>
    <w:rsid w:val="00FC42D4"/>
    <w:rsid w:val="00FC43A5"/>
    <w:rsid w:val="00FC4B96"/>
    <w:rsid w:val="00FC4CF2"/>
    <w:rsid w:val="00FC507A"/>
    <w:rsid w:val="00FC5451"/>
    <w:rsid w:val="00FC58E9"/>
    <w:rsid w:val="00FC59B6"/>
    <w:rsid w:val="00FC5BEF"/>
    <w:rsid w:val="00FC5CC6"/>
    <w:rsid w:val="00FC61A0"/>
    <w:rsid w:val="00FC6378"/>
    <w:rsid w:val="00FC64F8"/>
    <w:rsid w:val="00FC650F"/>
    <w:rsid w:val="00FC6850"/>
    <w:rsid w:val="00FC6D58"/>
    <w:rsid w:val="00FC7892"/>
    <w:rsid w:val="00FC7958"/>
    <w:rsid w:val="00FC7C50"/>
    <w:rsid w:val="00FC7C53"/>
    <w:rsid w:val="00FD0058"/>
    <w:rsid w:val="00FD081A"/>
    <w:rsid w:val="00FD0A20"/>
    <w:rsid w:val="00FD0D64"/>
    <w:rsid w:val="00FD14FD"/>
    <w:rsid w:val="00FD1F49"/>
    <w:rsid w:val="00FD214F"/>
    <w:rsid w:val="00FD23CA"/>
    <w:rsid w:val="00FD243A"/>
    <w:rsid w:val="00FD2541"/>
    <w:rsid w:val="00FD2ED8"/>
    <w:rsid w:val="00FD3229"/>
    <w:rsid w:val="00FD33FF"/>
    <w:rsid w:val="00FD44CC"/>
    <w:rsid w:val="00FD4936"/>
    <w:rsid w:val="00FD4B84"/>
    <w:rsid w:val="00FD5E31"/>
    <w:rsid w:val="00FD6517"/>
    <w:rsid w:val="00FD67C2"/>
    <w:rsid w:val="00FD6FE2"/>
    <w:rsid w:val="00FD73F3"/>
    <w:rsid w:val="00FD7C71"/>
    <w:rsid w:val="00FE0470"/>
    <w:rsid w:val="00FE09C8"/>
    <w:rsid w:val="00FE0A7A"/>
    <w:rsid w:val="00FE0CA9"/>
    <w:rsid w:val="00FE0CE5"/>
    <w:rsid w:val="00FE0FB4"/>
    <w:rsid w:val="00FE12B0"/>
    <w:rsid w:val="00FE12E4"/>
    <w:rsid w:val="00FE142C"/>
    <w:rsid w:val="00FE157D"/>
    <w:rsid w:val="00FE166B"/>
    <w:rsid w:val="00FE1C58"/>
    <w:rsid w:val="00FE1EB5"/>
    <w:rsid w:val="00FE2691"/>
    <w:rsid w:val="00FE29C5"/>
    <w:rsid w:val="00FE2D2D"/>
    <w:rsid w:val="00FE3004"/>
    <w:rsid w:val="00FE3160"/>
    <w:rsid w:val="00FE34F9"/>
    <w:rsid w:val="00FE38C4"/>
    <w:rsid w:val="00FE3AB9"/>
    <w:rsid w:val="00FE3CC1"/>
    <w:rsid w:val="00FE41CE"/>
    <w:rsid w:val="00FE47D3"/>
    <w:rsid w:val="00FE49A3"/>
    <w:rsid w:val="00FE4A79"/>
    <w:rsid w:val="00FE523A"/>
    <w:rsid w:val="00FE53B3"/>
    <w:rsid w:val="00FE5872"/>
    <w:rsid w:val="00FE6572"/>
    <w:rsid w:val="00FE67A8"/>
    <w:rsid w:val="00FE685D"/>
    <w:rsid w:val="00FE6A68"/>
    <w:rsid w:val="00FE6D68"/>
    <w:rsid w:val="00FE6F81"/>
    <w:rsid w:val="00FE73EE"/>
    <w:rsid w:val="00FE7A5F"/>
    <w:rsid w:val="00FE7D80"/>
    <w:rsid w:val="00FE7D8E"/>
    <w:rsid w:val="00FE7F7D"/>
    <w:rsid w:val="00FF0921"/>
    <w:rsid w:val="00FF0F91"/>
    <w:rsid w:val="00FF10C8"/>
    <w:rsid w:val="00FF1814"/>
    <w:rsid w:val="00FF21B8"/>
    <w:rsid w:val="00FF2BC4"/>
    <w:rsid w:val="00FF2E01"/>
    <w:rsid w:val="00FF2E43"/>
    <w:rsid w:val="00FF2F76"/>
    <w:rsid w:val="00FF347E"/>
    <w:rsid w:val="00FF35C6"/>
    <w:rsid w:val="00FF39E1"/>
    <w:rsid w:val="00FF3F21"/>
    <w:rsid w:val="00FF4B3A"/>
    <w:rsid w:val="00FF56F4"/>
    <w:rsid w:val="00FF5952"/>
    <w:rsid w:val="00FF640A"/>
    <w:rsid w:val="00FF6904"/>
    <w:rsid w:val="00FF6AA6"/>
    <w:rsid w:val="00FF6FF1"/>
    <w:rsid w:val="00FF7081"/>
    <w:rsid w:val="00FF77D5"/>
    <w:rsid w:val="00FF77F7"/>
    <w:rsid w:val="00FF7E7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2A82"/>
    <w:pPr>
      <w:spacing w:line="276" w:lineRule="auto"/>
      <w:jc w:val="both"/>
    </w:pPr>
    <w:rPr>
      <w:rFonts w:ascii="Calibri" w:hAnsi="Calibri"/>
      <w:sz w:val="24"/>
      <w:szCs w:val="24"/>
      <w:lang w:val="en-GB"/>
    </w:rPr>
  </w:style>
  <w:style w:type="paragraph" w:styleId="Heading1">
    <w:name w:val="heading 1"/>
    <w:aliases w:val="Section"/>
    <w:basedOn w:val="Normal"/>
    <w:next w:val="Heading2"/>
    <w:uiPriority w:val="9"/>
    <w:qFormat/>
    <w:rsid w:val="00BF0342"/>
    <w:pPr>
      <w:keepNext/>
      <w:numPr>
        <w:numId w:val="1"/>
      </w:numPr>
      <w:shd w:val="clear" w:color="auto" w:fill="C2D69B"/>
      <w:spacing w:before="120" w:after="120" w:line="360" w:lineRule="auto"/>
      <w:outlineLvl w:val="0"/>
    </w:pPr>
    <w:rPr>
      <w:rFonts w:cs="Arial"/>
      <w:b/>
      <w:bCs/>
      <w:caps/>
      <w:kern w:val="32"/>
      <w:szCs w:val="32"/>
    </w:rPr>
  </w:style>
  <w:style w:type="paragraph" w:styleId="Heading2">
    <w:name w:val="heading 2"/>
    <w:basedOn w:val="Normal"/>
    <w:link w:val="Heading2Char"/>
    <w:qFormat/>
    <w:rsid w:val="00963A1F"/>
    <w:pPr>
      <w:keepNext/>
      <w:numPr>
        <w:ilvl w:val="1"/>
        <w:numId w:val="1"/>
      </w:numPr>
      <w:outlineLvl w:val="1"/>
    </w:pPr>
    <w:rPr>
      <w:rFonts w:cs="Arial"/>
      <w:b/>
      <w:bCs/>
      <w:iCs/>
      <w:szCs w:val="28"/>
    </w:rPr>
  </w:style>
  <w:style w:type="paragraph" w:styleId="Heading3">
    <w:name w:val="heading 3"/>
    <w:basedOn w:val="Normal"/>
    <w:link w:val="Heading3Char"/>
    <w:qFormat/>
    <w:rsid w:val="00C62D37"/>
    <w:pPr>
      <w:widowControl w:val="0"/>
      <w:numPr>
        <w:ilvl w:val="2"/>
        <w:numId w:val="1"/>
      </w:numPr>
      <w:tabs>
        <w:tab w:val="clear" w:pos="1260"/>
      </w:tabs>
      <w:spacing w:before="40" w:after="40"/>
      <w:ind w:left="864" w:hanging="864"/>
      <w:outlineLvl w:val="2"/>
    </w:pPr>
    <w:rPr>
      <w:rFonts w:asciiTheme="minorHAnsi" w:hAnsiTheme="minorHAnsi" w:cstheme="minorHAnsi"/>
      <w:bCs/>
      <w:iCs/>
      <w:lang w:bidi="hi-IN"/>
    </w:rPr>
  </w:style>
  <w:style w:type="paragraph" w:styleId="Heading4">
    <w:name w:val="heading 4"/>
    <w:basedOn w:val="Normal"/>
    <w:qFormat/>
    <w:rsid w:val="00D13D13"/>
    <w:pPr>
      <w:numPr>
        <w:ilvl w:val="3"/>
        <w:numId w:val="1"/>
      </w:numPr>
      <w:outlineLvl w:val="3"/>
    </w:pPr>
    <w:rPr>
      <w:bCs/>
      <w:szCs w:val="28"/>
    </w:rPr>
  </w:style>
  <w:style w:type="paragraph" w:styleId="Heading5">
    <w:name w:val="heading 5"/>
    <w:basedOn w:val="Normal"/>
    <w:next w:val="Normal"/>
    <w:uiPriority w:val="99"/>
    <w:qFormat/>
    <w:rsid w:val="00DD1983"/>
    <w:pPr>
      <w:numPr>
        <w:ilvl w:val="4"/>
        <w:numId w:val="4"/>
      </w:numPr>
      <w:tabs>
        <w:tab w:val="left" w:pos="1440"/>
      </w:tabs>
      <w:spacing w:before="240" w:after="60"/>
      <w:outlineLvl w:val="4"/>
    </w:pPr>
    <w:rPr>
      <w:b/>
      <w:bCs/>
      <w:i/>
      <w:iCs/>
      <w:szCs w:val="26"/>
    </w:rPr>
  </w:style>
  <w:style w:type="paragraph" w:styleId="Heading6">
    <w:name w:val="heading 6"/>
    <w:basedOn w:val="Normal"/>
    <w:next w:val="Normal"/>
    <w:uiPriority w:val="99"/>
    <w:qFormat/>
    <w:rsid w:val="00DD1983"/>
    <w:pPr>
      <w:numPr>
        <w:ilvl w:val="5"/>
        <w:numId w:val="4"/>
      </w:numPr>
      <w:spacing w:before="240" w:after="60"/>
      <w:outlineLvl w:val="5"/>
    </w:pPr>
    <w:rPr>
      <w:b/>
      <w:bCs/>
      <w:sz w:val="22"/>
      <w:szCs w:val="22"/>
    </w:rPr>
  </w:style>
  <w:style w:type="paragraph" w:styleId="Heading7">
    <w:name w:val="heading 7"/>
    <w:basedOn w:val="Normal"/>
    <w:next w:val="Normal"/>
    <w:uiPriority w:val="99"/>
    <w:qFormat/>
    <w:rsid w:val="00DD1983"/>
    <w:pPr>
      <w:numPr>
        <w:ilvl w:val="6"/>
        <w:numId w:val="4"/>
      </w:numPr>
      <w:spacing w:before="240" w:after="60"/>
      <w:outlineLvl w:val="6"/>
    </w:pPr>
  </w:style>
  <w:style w:type="paragraph" w:styleId="Heading8">
    <w:name w:val="heading 8"/>
    <w:basedOn w:val="Normal"/>
    <w:next w:val="Normal"/>
    <w:uiPriority w:val="99"/>
    <w:qFormat/>
    <w:rsid w:val="00DD1983"/>
    <w:pPr>
      <w:numPr>
        <w:ilvl w:val="7"/>
        <w:numId w:val="4"/>
      </w:numPr>
      <w:spacing w:before="240" w:after="60"/>
      <w:outlineLvl w:val="7"/>
    </w:pPr>
    <w:rPr>
      <w:i/>
      <w:iCs/>
    </w:rPr>
  </w:style>
  <w:style w:type="paragraph" w:styleId="Heading9">
    <w:name w:val="heading 9"/>
    <w:basedOn w:val="Normal"/>
    <w:next w:val="Normal"/>
    <w:uiPriority w:val="99"/>
    <w:qFormat/>
    <w:rsid w:val="00DD1983"/>
    <w:pPr>
      <w:numPr>
        <w:ilvl w:val="8"/>
        <w:numId w:val="4"/>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21294"/>
    <w:rPr>
      <w:rFonts w:ascii="Calibri" w:hAnsi="Calibri" w:cs="Arial"/>
      <w:b/>
      <w:bCs/>
      <w:iCs/>
      <w:sz w:val="24"/>
      <w:szCs w:val="28"/>
      <w:lang w:val="en-GB"/>
    </w:rPr>
  </w:style>
  <w:style w:type="character" w:customStyle="1" w:styleId="Heading3Char">
    <w:name w:val="Heading 3 Char"/>
    <w:basedOn w:val="DefaultParagraphFont"/>
    <w:link w:val="Heading3"/>
    <w:rsid w:val="00C62D37"/>
    <w:rPr>
      <w:rFonts w:asciiTheme="minorHAnsi" w:hAnsiTheme="minorHAnsi" w:cstheme="minorHAnsi"/>
      <w:bCs/>
      <w:iCs/>
      <w:sz w:val="24"/>
      <w:szCs w:val="24"/>
      <w:lang w:val="en-GB" w:bidi="hi-IN"/>
    </w:rPr>
  </w:style>
  <w:style w:type="paragraph" w:styleId="Header">
    <w:name w:val="header"/>
    <w:basedOn w:val="Normal"/>
    <w:link w:val="HeaderChar"/>
    <w:uiPriority w:val="99"/>
    <w:rsid w:val="005A67F1"/>
    <w:pPr>
      <w:tabs>
        <w:tab w:val="center" w:pos="4320"/>
        <w:tab w:val="right" w:pos="8640"/>
      </w:tabs>
    </w:pPr>
  </w:style>
  <w:style w:type="character" w:customStyle="1" w:styleId="HeaderChar">
    <w:name w:val="Header Char"/>
    <w:basedOn w:val="DefaultParagraphFont"/>
    <w:link w:val="Header"/>
    <w:uiPriority w:val="99"/>
    <w:rsid w:val="00FB62F4"/>
    <w:rPr>
      <w:rFonts w:ascii="Calibri" w:hAnsi="Calibri"/>
      <w:sz w:val="24"/>
      <w:szCs w:val="24"/>
      <w:lang w:val="en-GB"/>
    </w:rPr>
  </w:style>
  <w:style w:type="paragraph" w:styleId="TableofFigures">
    <w:name w:val="table of figures"/>
    <w:basedOn w:val="Normal"/>
    <w:next w:val="Normal"/>
    <w:uiPriority w:val="99"/>
    <w:rsid w:val="001D22FE"/>
    <w:pPr>
      <w:ind w:left="480" w:hanging="480"/>
      <w:jc w:val="left"/>
    </w:pPr>
    <w:rPr>
      <w:rFonts w:cs="Calibri"/>
      <w:caps/>
      <w:sz w:val="20"/>
      <w:szCs w:val="20"/>
    </w:rPr>
  </w:style>
  <w:style w:type="paragraph" w:styleId="TOC1">
    <w:name w:val="toc 1"/>
    <w:basedOn w:val="Normal"/>
    <w:next w:val="Normal"/>
    <w:autoRedefine/>
    <w:uiPriority w:val="39"/>
    <w:qFormat/>
    <w:rsid w:val="00B97654"/>
    <w:pPr>
      <w:tabs>
        <w:tab w:val="left" w:pos="1200"/>
        <w:tab w:val="right" w:leader="dot" w:pos="9019"/>
      </w:tabs>
      <w:spacing w:before="120" w:after="120"/>
      <w:jc w:val="left"/>
    </w:pPr>
    <w:rPr>
      <w:b/>
      <w:bCs/>
      <w:caps/>
      <w:noProof/>
    </w:rPr>
  </w:style>
  <w:style w:type="paragraph" w:styleId="Footer">
    <w:name w:val="footer"/>
    <w:basedOn w:val="Normal"/>
    <w:link w:val="FooterChar"/>
    <w:uiPriority w:val="99"/>
    <w:rsid w:val="005A67F1"/>
    <w:pPr>
      <w:tabs>
        <w:tab w:val="center" w:pos="4320"/>
        <w:tab w:val="right" w:pos="8640"/>
      </w:tabs>
    </w:pPr>
  </w:style>
  <w:style w:type="character" w:customStyle="1" w:styleId="FooterChar">
    <w:name w:val="Footer Char"/>
    <w:basedOn w:val="DefaultParagraphFont"/>
    <w:link w:val="Footer"/>
    <w:uiPriority w:val="99"/>
    <w:rsid w:val="00136900"/>
    <w:rPr>
      <w:rFonts w:ascii="Calibri" w:hAnsi="Calibri"/>
      <w:sz w:val="24"/>
      <w:szCs w:val="24"/>
      <w:lang w:val="en-GB"/>
    </w:rPr>
  </w:style>
  <w:style w:type="paragraph" w:styleId="TOC2">
    <w:name w:val="toc 2"/>
    <w:basedOn w:val="Normal"/>
    <w:next w:val="Normal"/>
    <w:autoRedefine/>
    <w:uiPriority w:val="39"/>
    <w:qFormat/>
    <w:rsid w:val="007D741D"/>
    <w:pPr>
      <w:tabs>
        <w:tab w:val="left" w:pos="720"/>
        <w:tab w:val="right" w:leader="dot" w:pos="8659"/>
      </w:tabs>
      <w:ind w:left="720" w:hanging="480"/>
      <w:jc w:val="left"/>
    </w:pPr>
    <w:rPr>
      <w:smallCaps/>
      <w:noProof/>
    </w:rPr>
  </w:style>
  <w:style w:type="character" w:styleId="Hyperlink">
    <w:name w:val="Hyperlink"/>
    <w:basedOn w:val="DefaultParagraphFont"/>
    <w:uiPriority w:val="99"/>
    <w:rsid w:val="00FA6A04"/>
    <w:rPr>
      <w:color w:val="0000FF"/>
      <w:u w:val="single"/>
    </w:rPr>
  </w:style>
  <w:style w:type="paragraph" w:styleId="TOC3">
    <w:name w:val="toc 3"/>
    <w:basedOn w:val="Normal"/>
    <w:next w:val="Normal"/>
    <w:autoRedefine/>
    <w:uiPriority w:val="39"/>
    <w:qFormat/>
    <w:rsid w:val="00A67F89"/>
    <w:pPr>
      <w:ind w:left="480"/>
      <w:jc w:val="left"/>
    </w:pPr>
    <w:rPr>
      <w:i/>
      <w:iCs/>
      <w:sz w:val="20"/>
      <w:szCs w:val="20"/>
    </w:rPr>
  </w:style>
  <w:style w:type="paragraph" w:styleId="Caption">
    <w:name w:val="caption"/>
    <w:basedOn w:val="Normal"/>
    <w:next w:val="Normal"/>
    <w:autoRedefine/>
    <w:qFormat/>
    <w:rsid w:val="00061AA6"/>
    <w:pPr>
      <w:keepNext/>
      <w:widowControl w:val="0"/>
      <w:spacing w:before="40" w:after="40" w:line="240" w:lineRule="auto"/>
      <w:jc w:val="center"/>
    </w:pPr>
    <w:rPr>
      <w:b/>
      <w:bCs/>
    </w:rPr>
  </w:style>
  <w:style w:type="character" w:styleId="CommentReference">
    <w:name w:val="annotation reference"/>
    <w:basedOn w:val="DefaultParagraphFont"/>
    <w:semiHidden/>
    <w:rsid w:val="00E22B10"/>
    <w:rPr>
      <w:sz w:val="16"/>
      <w:szCs w:val="16"/>
    </w:rPr>
  </w:style>
  <w:style w:type="paragraph" w:styleId="CommentText">
    <w:name w:val="annotation text"/>
    <w:basedOn w:val="Normal"/>
    <w:semiHidden/>
    <w:rsid w:val="00E22B10"/>
    <w:rPr>
      <w:sz w:val="20"/>
      <w:szCs w:val="20"/>
    </w:rPr>
  </w:style>
  <w:style w:type="paragraph" w:styleId="CommentSubject">
    <w:name w:val="annotation subject"/>
    <w:basedOn w:val="CommentText"/>
    <w:next w:val="CommentText"/>
    <w:semiHidden/>
    <w:rsid w:val="00E22B10"/>
    <w:rPr>
      <w:b/>
      <w:bCs/>
    </w:rPr>
  </w:style>
  <w:style w:type="paragraph" w:styleId="BalloonText">
    <w:name w:val="Balloon Text"/>
    <w:basedOn w:val="Normal"/>
    <w:semiHidden/>
    <w:rsid w:val="00E22B10"/>
    <w:rPr>
      <w:rFonts w:ascii="Tahoma" w:hAnsi="Tahoma" w:cs="Tahoma"/>
      <w:sz w:val="16"/>
      <w:szCs w:val="16"/>
    </w:rPr>
  </w:style>
  <w:style w:type="paragraph" w:customStyle="1" w:styleId="StyleCaptionCentered">
    <w:name w:val="Style Caption + Centered"/>
    <w:basedOn w:val="Caption"/>
    <w:rsid w:val="00921728"/>
    <w:rPr>
      <w:rFonts w:ascii="Book Antiqua" w:hAnsi="Book Antiqua"/>
    </w:rPr>
  </w:style>
  <w:style w:type="paragraph" w:customStyle="1" w:styleId="StyleHeading3Bold">
    <w:name w:val="Style Heading 3 + Bold"/>
    <w:basedOn w:val="Heading3"/>
    <w:rsid w:val="00DD3374"/>
    <w:rPr>
      <w:b/>
    </w:rPr>
  </w:style>
  <w:style w:type="paragraph" w:customStyle="1" w:styleId="StyleHeading2NotLatinBoldBefore6ptAfter6pt">
    <w:name w:val="Style Heading 2 + Not (Latin) Bold Before:  6 pt After:  6 pt"/>
    <w:basedOn w:val="Heading2"/>
    <w:rsid w:val="00725C29"/>
    <w:pPr>
      <w:keepNext w:val="0"/>
      <w:spacing w:after="120"/>
    </w:pPr>
    <w:rPr>
      <w:b w:val="0"/>
    </w:rPr>
  </w:style>
  <w:style w:type="paragraph" w:customStyle="1" w:styleId="StyleCaptionCentered1">
    <w:name w:val="Style Caption + Centered1"/>
    <w:basedOn w:val="Caption"/>
    <w:rsid w:val="004C7AAF"/>
    <w:rPr>
      <w:rFonts w:ascii="Book Antiqua" w:hAnsi="Book Antiqua"/>
    </w:rPr>
  </w:style>
  <w:style w:type="paragraph" w:customStyle="1" w:styleId="StyleHeading2After6pt">
    <w:name w:val="Style Heading 2 + After:  6 pt"/>
    <w:basedOn w:val="Heading2"/>
    <w:rsid w:val="006502A0"/>
    <w:pPr>
      <w:spacing w:after="120"/>
    </w:pPr>
    <w:rPr>
      <w:rFonts w:cs="Times New Roman"/>
      <w:iCs w:val="0"/>
      <w:szCs w:val="20"/>
    </w:rPr>
  </w:style>
  <w:style w:type="character" w:styleId="PageNumber">
    <w:name w:val="page number"/>
    <w:basedOn w:val="DefaultParagraphFont"/>
    <w:rsid w:val="00DD1983"/>
  </w:style>
  <w:style w:type="paragraph" w:styleId="TOC4">
    <w:name w:val="toc 4"/>
    <w:basedOn w:val="Normal"/>
    <w:next w:val="Normal"/>
    <w:autoRedefine/>
    <w:uiPriority w:val="39"/>
    <w:rsid w:val="00C77A08"/>
    <w:pPr>
      <w:ind w:left="720"/>
      <w:jc w:val="left"/>
    </w:pPr>
    <w:rPr>
      <w:sz w:val="18"/>
      <w:szCs w:val="18"/>
    </w:rPr>
  </w:style>
  <w:style w:type="paragraph" w:styleId="TOC5">
    <w:name w:val="toc 5"/>
    <w:basedOn w:val="Normal"/>
    <w:next w:val="Normal"/>
    <w:autoRedefine/>
    <w:uiPriority w:val="39"/>
    <w:rsid w:val="00C77A08"/>
    <w:pPr>
      <w:ind w:left="960"/>
      <w:jc w:val="left"/>
    </w:pPr>
    <w:rPr>
      <w:sz w:val="18"/>
      <w:szCs w:val="18"/>
    </w:rPr>
  </w:style>
  <w:style w:type="paragraph" w:styleId="TOC6">
    <w:name w:val="toc 6"/>
    <w:basedOn w:val="Normal"/>
    <w:next w:val="Normal"/>
    <w:autoRedefine/>
    <w:uiPriority w:val="39"/>
    <w:rsid w:val="00C77A08"/>
    <w:pPr>
      <w:ind w:left="1200"/>
      <w:jc w:val="left"/>
    </w:pPr>
    <w:rPr>
      <w:sz w:val="18"/>
      <w:szCs w:val="18"/>
    </w:rPr>
  </w:style>
  <w:style w:type="paragraph" w:styleId="TOC7">
    <w:name w:val="toc 7"/>
    <w:basedOn w:val="Normal"/>
    <w:next w:val="Normal"/>
    <w:autoRedefine/>
    <w:uiPriority w:val="39"/>
    <w:rsid w:val="00C77A08"/>
    <w:pPr>
      <w:ind w:left="1440"/>
      <w:jc w:val="left"/>
    </w:pPr>
    <w:rPr>
      <w:sz w:val="18"/>
      <w:szCs w:val="18"/>
    </w:rPr>
  </w:style>
  <w:style w:type="paragraph" w:styleId="TOC8">
    <w:name w:val="toc 8"/>
    <w:basedOn w:val="Normal"/>
    <w:next w:val="Normal"/>
    <w:autoRedefine/>
    <w:uiPriority w:val="39"/>
    <w:rsid w:val="00C77A08"/>
    <w:pPr>
      <w:ind w:left="1680"/>
      <w:jc w:val="left"/>
    </w:pPr>
    <w:rPr>
      <w:sz w:val="18"/>
      <w:szCs w:val="18"/>
    </w:rPr>
  </w:style>
  <w:style w:type="paragraph" w:styleId="TOC9">
    <w:name w:val="toc 9"/>
    <w:basedOn w:val="Normal"/>
    <w:next w:val="Normal"/>
    <w:autoRedefine/>
    <w:uiPriority w:val="39"/>
    <w:rsid w:val="00C77A08"/>
    <w:pPr>
      <w:ind w:left="1920"/>
      <w:jc w:val="left"/>
    </w:pPr>
    <w:rPr>
      <w:sz w:val="18"/>
      <w:szCs w:val="18"/>
    </w:rPr>
  </w:style>
  <w:style w:type="table" w:styleId="TableGrid">
    <w:name w:val="Table Grid"/>
    <w:basedOn w:val="TableNormal"/>
    <w:uiPriority w:val="59"/>
    <w:rsid w:val="006F5F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2NotBold">
    <w:name w:val="Style Heading 2 + Not Bold"/>
    <w:basedOn w:val="Heading2"/>
    <w:rsid w:val="00FC2172"/>
    <w:rPr>
      <w:b w:val="0"/>
      <w:bCs w:val="0"/>
      <w:iCs w:val="0"/>
    </w:rPr>
  </w:style>
  <w:style w:type="paragraph" w:styleId="BodyTextIndent">
    <w:name w:val="Body Text Indent"/>
    <w:basedOn w:val="Normal"/>
    <w:link w:val="BodyTextIndentChar"/>
    <w:rsid w:val="00BF5ABC"/>
    <w:pPr>
      <w:spacing w:line="240" w:lineRule="auto"/>
      <w:ind w:left="720"/>
    </w:pPr>
    <w:rPr>
      <w:rFonts w:ascii="Times New Roman" w:hAnsi="Times New Roman"/>
      <w:bCs/>
      <w:lang w:val="en-US"/>
    </w:rPr>
  </w:style>
  <w:style w:type="character" w:customStyle="1" w:styleId="BodyTextIndentChar">
    <w:name w:val="Body Text Indent Char"/>
    <w:basedOn w:val="DefaultParagraphFont"/>
    <w:link w:val="BodyTextIndent"/>
    <w:rsid w:val="00BF5ABC"/>
    <w:rPr>
      <w:bCs/>
      <w:sz w:val="24"/>
      <w:szCs w:val="24"/>
      <w:lang w:val="en-US" w:eastAsia="en-US"/>
    </w:rPr>
  </w:style>
  <w:style w:type="paragraph" w:styleId="ListParagraph">
    <w:name w:val="List Paragraph"/>
    <w:basedOn w:val="Normal"/>
    <w:link w:val="ListParagraphChar"/>
    <w:uiPriority w:val="34"/>
    <w:qFormat/>
    <w:rsid w:val="00860A39"/>
    <w:pPr>
      <w:widowControl w:val="0"/>
      <w:spacing w:before="60" w:after="60"/>
      <w:ind w:left="720"/>
    </w:pPr>
  </w:style>
  <w:style w:type="character" w:customStyle="1" w:styleId="ListParagraphChar">
    <w:name w:val="List Paragraph Char"/>
    <w:link w:val="ListParagraph"/>
    <w:uiPriority w:val="34"/>
    <w:locked/>
    <w:rsid w:val="00860A39"/>
    <w:rPr>
      <w:rFonts w:ascii="Calibri" w:hAnsi="Calibri"/>
      <w:sz w:val="24"/>
      <w:szCs w:val="24"/>
      <w:lang w:val="en-GB"/>
    </w:rPr>
  </w:style>
  <w:style w:type="paragraph" w:customStyle="1" w:styleId="Default">
    <w:name w:val="Default"/>
    <w:rsid w:val="008E3860"/>
    <w:pPr>
      <w:autoSpaceDE w:val="0"/>
      <w:autoSpaceDN w:val="0"/>
      <w:adjustRightInd w:val="0"/>
    </w:pPr>
    <w:rPr>
      <w:rFonts w:ascii="Calibri" w:hAnsi="Calibri" w:cs="Calibri"/>
      <w:color w:val="000000"/>
      <w:sz w:val="24"/>
      <w:szCs w:val="24"/>
    </w:rPr>
  </w:style>
  <w:style w:type="paragraph" w:styleId="NormalWeb">
    <w:name w:val="Normal (Web)"/>
    <w:basedOn w:val="Normal"/>
    <w:uiPriority w:val="99"/>
    <w:unhideWhenUsed/>
    <w:rsid w:val="00F303A5"/>
    <w:pPr>
      <w:spacing w:before="100" w:beforeAutospacing="1" w:after="100" w:afterAutospacing="1" w:line="240" w:lineRule="auto"/>
      <w:jc w:val="left"/>
    </w:pPr>
    <w:rPr>
      <w:rFonts w:ascii="Times New Roman" w:hAnsi="Times New Roman"/>
      <w:lang w:val="en-IN" w:eastAsia="en-IN"/>
    </w:rPr>
  </w:style>
  <w:style w:type="paragraph" w:customStyle="1" w:styleId="EDNormal">
    <w:name w:val="ED Normal"/>
    <w:basedOn w:val="Normal"/>
    <w:link w:val="EDNormalChar"/>
    <w:qFormat/>
    <w:rsid w:val="00C62D37"/>
    <w:pPr>
      <w:widowControl w:val="0"/>
      <w:tabs>
        <w:tab w:val="right" w:pos="9000"/>
      </w:tabs>
      <w:spacing w:before="40" w:after="40"/>
    </w:pPr>
    <w:rPr>
      <w:rFonts w:eastAsia="Calibri"/>
      <w:szCs w:val="22"/>
    </w:rPr>
  </w:style>
  <w:style w:type="character" w:customStyle="1" w:styleId="EDNormalChar">
    <w:name w:val="ED Normal Char"/>
    <w:basedOn w:val="DefaultParagraphFont"/>
    <w:link w:val="EDNormal"/>
    <w:rsid w:val="00C62D37"/>
    <w:rPr>
      <w:rFonts w:ascii="Calibri" w:eastAsia="Calibri" w:hAnsi="Calibri"/>
      <w:sz w:val="24"/>
      <w:szCs w:val="22"/>
      <w:lang w:val="en-GB"/>
    </w:rPr>
  </w:style>
  <w:style w:type="paragraph" w:customStyle="1" w:styleId="ED-H1">
    <w:name w:val="ED - H1"/>
    <w:basedOn w:val="Heading1"/>
    <w:next w:val="EDNormal"/>
    <w:link w:val="ED-H1Char"/>
    <w:autoRedefine/>
    <w:uiPriority w:val="99"/>
    <w:qFormat/>
    <w:rsid w:val="004F4F4E"/>
    <w:pPr>
      <w:keepLines/>
      <w:numPr>
        <w:numId w:val="4"/>
      </w:numPr>
      <w:shd w:val="clear" w:color="auto" w:fill="C2D69B" w:themeFill="accent3" w:themeFillTint="99"/>
      <w:spacing w:line="276" w:lineRule="auto"/>
      <w:jc w:val="left"/>
    </w:pPr>
    <w:rPr>
      <w:rFonts w:cs="Times New Roman"/>
      <w:kern w:val="0"/>
      <w:szCs w:val="28"/>
      <w:lang w:val="en-IN"/>
    </w:rPr>
  </w:style>
  <w:style w:type="character" w:customStyle="1" w:styleId="ED-H1Char">
    <w:name w:val="ED - H1 Char"/>
    <w:basedOn w:val="DefaultParagraphFont"/>
    <w:link w:val="ED-H1"/>
    <w:uiPriority w:val="99"/>
    <w:rsid w:val="004F4F4E"/>
    <w:rPr>
      <w:rFonts w:ascii="Calibri" w:hAnsi="Calibri"/>
      <w:b/>
      <w:bCs/>
      <w:caps/>
      <w:sz w:val="24"/>
      <w:szCs w:val="28"/>
      <w:shd w:val="clear" w:color="auto" w:fill="C2D69B" w:themeFill="accent3" w:themeFillTint="99"/>
      <w:lang w:val="en-IN"/>
    </w:rPr>
  </w:style>
  <w:style w:type="paragraph" w:customStyle="1" w:styleId="ED-H2">
    <w:name w:val="ED - H2"/>
    <w:basedOn w:val="Heading2"/>
    <w:next w:val="EDNormal"/>
    <w:link w:val="ED-H2Char"/>
    <w:qFormat/>
    <w:rsid w:val="004F4F4E"/>
    <w:pPr>
      <w:keepNext w:val="0"/>
      <w:widowControl w:val="0"/>
      <w:numPr>
        <w:numId w:val="4"/>
      </w:numPr>
      <w:spacing w:before="60" w:after="60"/>
    </w:pPr>
    <w:rPr>
      <w:rFonts w:cs="Times New Roman"/>
      <w:iCs w:val="0"/>
      <w:szCs w:val="26"/>
      <w:lang w:val="en-IN"/>
    </w:rPr>
  </w:style>
  <w:style w:type="character" w:customStyle="1" w:styleId="ED-H2Char">
    <w:name w:val="ED - H2 Char"/>
    <w:basedOn w:val="Heading2Char"/>
    <w:link w:val="ED-H2"/>
    <w:rsid w:val="004F4F4E"/>
    <w:rPr>
      <w:rFonts w:ascii="Calibri" w:hAnsi="Calibri" w:cs="Arial"/>
      <w:b/>
      <w:bCs/>
      <w:iCs w:val="0"/>
      <w:sz w:val="24"/>
      <w:szCs w:val="26"/>
      <w:lang w:val="en-IN"/>
    </w:rPr>
  </w:style>
  <w:style w:type="paragraph" w:customStyle="1" w:styleId="ED-H3">
    <w:name w:val="ED - H3"/>
    <w:basedOn w:val="Heading3"/>
    <w:next w:val="EDNormal"/>
    <w:link w:val="ED-H3Char"/>
    <w:qFormat/>
    <w:rsid w:val="004F4F4E"/>
    <w:pPr>
      <w:numPr>
        <w:numId w:val="4"/>
      </w:numPr>
    </w:pPr>
    <w:rPr>
      <w:rFonts w:cs="Times New Roman"/>
      <w:szCs w:val="22"/>
      <w:lang w:val="en-IN"/>
    </w:rPr>
  </w:style>
  <w:style w:type="character" w:customStyle="1" w:styleId="ED-H3Char">
    <w:name w:val="ED - H3 Char"/>
    <w:basedOn w:val="Heading3Char"/>
    <w:link w:val="ED-H3"/>
    <w:rsid w:val="004F4F4E"/>
    <w:rPr>
      <w:rFonts w:asciiTheme="minorHAnsi" w:hAnsiTheme="minorHAnsi" w:cstheme="minorHAnsi"/>
      <w:bCs/>
      <w:iCs/>
      <w:sz w:val="24"/>
      <w:szCs w:val="22"/>
      <w:lang w:val="en-IN" w:bidi="hi-IN"/>
    </w:rPr>
  </w:style>
  <w:style w:type="paragraph" w:customStyle="1" w:styleId="ED-H4">
    <w:name w:val="ED - H4"/>
    <w:basedOn w:val="Heading4"/>
    <w:next w:val="EDNormal"/>
    <w:uiPriority w:val="99"/>
    <w:qFormat/>
    <w:rsid w:val="00C97702"/>
    <w:pPr>
      <w:widowControl w:val="0"/>
      <w:numPr>
        <w:numId w:val="4"/>
      </w:numPr>
      <w:spacing w:before="40" w:after="40"/>
    </w:pPr>
    <w:rPr>
      <w:rFonts w:asciiTheme="minorHAnsi" w:hAnsiTheme="minorHAnsi"/>
      <w:iCs/>
      <w:szCs w:val="22"/>
      <w:lang w:val="en-IN"/>
    </w:rPr>
  </w:style>
  <w:style w:type="table" w:styleId="MediumGrid3-Accent2">
    <w:name w:val="Medium Grid 3 Accent 2"/>
    <w:basedOn w:val="TableNormal"/>
    <w:uiPriority w:val="69"/>
    <w:rsid w:val="00D15A82"/>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Style1">
    <w:name w:val="Style1"/>
    <w:basedOn w:val="TableNormal"/>
    <w:rsid w:val="00D15A82"/>
    <w:tblPr>
      <w:tblInd w:w="0" w:type="dxa"/>
      <w:tblCellMar>
        <w:top w:w="0" w:type="dxa"/>
        <w:left w:w="108" w:type="dxa"/>
        <w:bottom w:w="0" w:type="dxa"/>
        <w:right w:w="108" w:type="dxa"/>
      </w:tblCellMar>
    </w:tblPr>
    <w:tcPr>
      <w:shd w:val="clear" w:color="auto" w:fill="00B050"/>
    </w:tcPr>
  </w:style>
  <w:style w:type="table" w:customStyle="1" w:styleId="Style2">
    <w:name w:val="Style2"/>
    <w:basedOn w:val="TableList4"/>
    <w:rsid w:val="00785206"/>
    <w:rPr>
      <w:rFonts w:ascii="Calibri" w:hAnsi="Calibri"/>
      <w:lang w:val="en-IN" w:eastAsia="en-IN" w:bidi="ta-I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4">
    <w:name w:val="Table List 4"/>
    <w:basedOn w:val="TableNormal"/>
    <w:rsid w:val="00785206"/>
    <w:pPr>
      <w:spacing w:line="276" w:lineRule="auto"/>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3Deffects1">
    <w:name w:val="Table 3D effects 1"/>
    <w:basedOn w:val="TableNormal"/>
    <w:rsid w:val="00785206"/>
    <w:pPr>
      <w:spacing w:line="276" w:lineRule="auto"/>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olorful1">
    <w:name w:val="Table Colorful 1"/>
    <w:basedOn w:val="TableNormal"/>
    <w:rsid w:val="00785206"/>
    <w:pPr>
      <w:spacing w:line="276" w:lineRule="auto"/>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ntemporary">
    <w:name w:val="Table Contemporary"/>
    <w:basedOn w:val="TableNormal"/>
    <w:rsid w:val="00785206"/>
    <w:pPr>
      <w:spacing w:line="276" w:lineRule="auto"/>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MediumGrid1-Accent3">
    <w:name w:val="Medium Grid 1 Accent 3"/>
    <w:basedOn w:val="TableNormal"/>
    <w:uiPriority w:val="67"/>
    <w:rsid w:val="004E0E97"/>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Shading1-Accent2">
    <w:name w:val="Medium Shading 1 Accent 2"/>
    <w:basedOn w:val="TableNormal"/>
    <w:uiPriority w:val="63"/>
    <w:rsid w:val="004E0E97"/>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Grid1-Accent4">
    <w:name w:val="Medium Grid 1 Accent 4"/>
    <w:basedOn w:val="TableNormal"/>
    <w:uiPriority w:val="67"/>
    <w:rsid w:val="004E0E97"/>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Shading1-Accent3">
    <w:name w:val="Medium Shading 1 Accent 3"/>
    <w:basedOn w:val="TableNormal"/>
    <w:uiPriority w:val="63"/>
    <w:rsid w:val="00B14FE9"/>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Revision">
    <w:name w:val="Revision"/>
    <w:hidden/>
    <w:uiPriority w:val="99"/>
    <w:semiHidden/>
    <w:rsid w:val="00F53710"/>
    <w:rPr>
      <w:rFonts w:ascii="Calibri" w:hAnsi="Calibri"/>
      <w:sz w:val="24"/>
      <w:szCs w:val="24"/>
      <w:lang w:val="en-GB"/>
    </w:rPr>
  </w:style>
  <w:style w:type="paragraph" w:customStyle="1" w:styleId="TableContents">
    <w:name w:val="Table Contents"/>
    <w:basedOn w:val="Normal"/>
    <w:rsid w:val="00324644"/>
    <w:pPr>
      <w:widowControl w:val="0"/>
      <w:suppressLineNumbers/>
      <w:suppressAutoHyphens/>
      <w:spacing w:line="240" w:lineRule="auto"/>
      <w:jc w:val="left"/>
    </w:pPr>
    <w:rPr>
      <w:rFonts w:ascii="Times New Roman" w:eastAsia="Lucida Sans Unicode" w:hAnsi="Times New Roman" w:cs="Tahoma"/>
      <w:kern w:val="1"/>
      <w:lang w:val="en-US" w:eastAsia="hi-IN" w:bidi="hi-IN"/>
    </w:rPr>
  </w:style>
  <w:style w:type="table" w:styleId="MediumGrid2-Accent1">
    <w:name w:val="Medium Grid 2 Accent 1"/>
    <w:basedOn w:val="TableNormal"/>
    <w:uiPriority w:val="68"/>
    <w:rsid w:val="00792309"/>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3-Accent3">
    <w:name w:val="Medium Grid 3 Accent 3"/>
    <w:basedOn w:val="TableNormal"/>
    <w:uiPriority w:val="69"/>
    <w:rsid w:val="009C4497"/>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ColorfulList-Accent4">
    <w:name w:val="Colorful List Accent 4"/>
    <w:basedOn w:val="TableNormal"/>
    <w:uiPriority w:val="72"/>
    <w:rsid w:val="002F32E9"/>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customStyle="1" w:styleId="CM10">
    <w:name w:val="CM10"/>
    <w:basedOn w:val="Default"/>
    <w:next w:val="Default"/>
    <w:rsid w:val="00D30763"/>
    <w:pPr>
      <w:widowControl w:val="0"/>
      <w:spacing w:line="323" w:lineRule="atLeast"/>
    </w:pPr>
    <w:rPr>
      <w:rFonts w:ascii="TTE189F6F8t00" w:hAnsi="TTE189F6F8t00" w:cs="Mangal"/>
      <w:color w:val="auto"/>
      <w:lang w:bidi="hi-IN"/>
    </w:rPr>
  </w:style>
  <w:style w:type="paragraph" w:customStyle="1" w:styleId="CM34">
    <w:name w:val="CM34"/>
    <w:basedOn w:val="Default"/>
    <w:next w:val="Default"/>
    <w:rsid w:val="0061035D"/>
    <w:pPr>
      <w:widowControl w:val="0"/>
    </w:pPr>
    <w:rPr>
      <w:rFonts w:ascii="TTE189F6F8t00" w:hAnsi="TTE189F6F8t00" w:cs="Mangal"/>
      <w:color w:val="auto"/>
      <w:lang w:bidi="hi-IN"/>
    </w:rPr>
  </w:style>
  <w:style w:type="paragraph" w:customStyle="1" w:styleId="CM39">
    <w:name w:val="CM39"/>
    <w:basedOn w:val="Default"/>
    <w:next w:val="Default"/>
    <w:rsid w:val="00187585"/>
    <w:pPr>
      <w:widowControl w:val="0"/>
    </w:pPr>
    <w:rPr>
      <w:rFonts w:ascii="TTE189F6F8t00" w:hAnsi="TTE189F6F8t00" w:cs="Mangal"/>
      <w:color w:val="auto"/>
      <w:lang w:bidi="hi-IN"/>
    </w:rPr>
  </w:style>
  <w:style w:type="paragraph" w:customStyle="1" w:styleId="CM33">
    <w:name w:val="CM33"/>
    <w:basedOn w:val="Default"/>
    <w:next w:val="Default"/>
    <w:rsid w:val="00366F69"/>
    <w:pPr>
      <w:widowControl w:val="0"/>
    </w:pPr>
    <w:rPr>
      <w:rFonts w:ascii="TTE189F6F8t00" w:hAnsi="TTE189F6F8t00" w:cs="Mangal"/>
      <w:color w:val="auto"/>
      <w:lang w:bidi="hi-IN"/>
    </w:rPr>
  </w:style>
  <w:style w:type="paragraph" w:customStyle="1" w:styleId="CM4">
    <w:name w:val="CM4"/>
    <w:basedOn w:val="Default"/>
    <w:next w:val="Default"/>
    <w:rsid w:val="00366F69"/>
    <w:pPr>
      <w:widowControl w:val="0"/>
    </w:pPr>
    <w:rPr>
      <w:rFonts w:ascii="TTE189F6F8t00" w:hAnsi="TTE189F6F8t00" w:cs="Mangal"/>
      <w:color w:val="auto"/>
      <w:lang w:bidi="hi-IN"/>
    </w:rPr>
  </w:style>
  <w:style w:type="paragraph" w:customStyle="1" w:styleId="CM11">
    <w:name w:val="CM11"/>
    <w:basedOn w:val="Default"/>
    <w:next w:val="Default"/>
    <w:rsid w:val="00366F69"/>
    <w:pPr>
      <w:widowControl w:val="0"/>
      <w:spacing w:line="323" w:lineRule="atLeast"/>
    </w:pPr>
    <w:rPr>
      <w:rFonts w:ascii="TTE189F6F8t00" w:hAnsi="TTE189F6F8t00" w:cs="Mangal"/>
      <w:color w:val="auto"/>
      <w:lang w:bidi="hi-IN"/>
    </w:rPr>
  </w:style>
  <w:style w:type="paragraph" w:customStyle="1" w:styleId="CM42">
    <w:name w:val="CM42"/>
    <w:basedOn w:val="Default"/>
    <w:next w:val="Default"/>
    <w:rsid w:val="00366F69"/>
    <w:pPr>
      <w:widowControl w:val="0"/>
    </w:pPr>
    <w:rPr>
      <w:rFonts w:ascii="TTE189F6F8t00" w:hAnsi="TTE189F6F8t00" w:cs="Mangal"/>
      <w:color w:val="auto"/>
      <w:lang w:bidi="hi-IN"/>
    </w:rPr>
  </w:style>
  <w:style w:type="paragraph" w:customStyle="1" w:styleId="CM37">
    <w:name w:val="CM37"/>
    <w:basedOn w:val="Default"/>
    <w:next w:val="Default"/>
    <w:rsid w:val="00366F69"/>
    <w:pPr>
      <w:widowControl w:val="0"/>
    </w:pPr>
    <w:rPr>
      <w:rFonts w:ascii="TTE189F6F8t00" w:hAnsi="TTE189F6F8t00" w:cs="Mangal"/>
      <w:color w:val="auto"/>
      <w:lang w:bidi="hi-IN"/>
    </w:rPr>
  </w:style>
  <w:style w:type="paragraph" w:customStyle="1" w:styleId="CM3">
    <w:name w:val="CM3"/>
    <w:basedOn w:val="Default"/>
    <w:next w:val="Default"/>
    <w:rsid w:val="00366F69"/>
    <w:pPr>
      <w:widowControl w:val="0"/>
      <w:spacing w:line="380" w:lineRule="atLeast"/>
    </w:pPr>
    <w:rPr>
      <w:rFonts w:ascii="TTE189F6F8t00" w:hAnsi="TTE189F6F8t00" w:cs="Mangal"/>
      <w:color w:val="auto"/>
      <w:lang w:bidi="hi-IN"/>
    </w:rPr>
  </w:style>
  <w:style w:type="paragraph" w:customStyle="1" w:styleId="CM44">
    <w:name w:val="CM44"/>
    <w:basedOn w:val="Default"/>
    <w:next w:val="Default"/>
    <w:rsid w:val="00366F69"/>
    <w:pPr>
      <w:widowControl w:val="0"/>
    </w:pPr>
    <w:rPr>
      <w:rFonts w:ascii="TTE189F6F8t00" w:hAnsi="TTE189F6F8t00" w:cs="Mangal"/>
      <w:color w:val="auto"/>
      <w:lang w:bidi="hi-IN"/>
    </w:rPr>
  </w:style>
  <w:style w:type="paragraph" w:customStyle="1" w:styleId="CM12">
    <w:name w:val="CM12"/>
    <w:basedOn w:val="Default"/>
    <w:next w:val="Default"/>
    <w:rsid w:val="00366F69"/>
    <w:pPr>
      <w:widowControl w:val="0"/>
    </w:pPr>
    <w:rPr>
      <w:rFonts w:ascii="TTE189F6F8t00" w:hAnsi="TTE189F6F8t00" w:cs="Mangal"/>
      <w:color w:val="auto"/>
      <w:lang w:bidi="hi-IN"/>
    </w:rPr>
  </w:style>
  <w:style w:type="paragraph" w:customStyle="1" w:styleId="CM1">
    <w:name w:val="CM1"/>
    <w:basedOn w:val="Default"/>
    <w:next w:val="Default"/>
    <w:rsid w:val="00366F69"/>
    <w:pPr>
      <w:widowControl w:val="0"/>
      <w:spacing w:line="316" w:lineRule="atLeast"/>
    </w:pPr>
    <w:rPr>
      <w:rFonts w:ascii="TTE189F6F8t00" w:hAnsi="TTE189F6F8t00" w:cs="Mangal"/>
      <w:color w:val="auto"/>
      <w:lang w:bidi="hi-IN"/>
    </w:rPr>
  </w:style>
  <w:style w:type="paragraph" w:customStyle="1" w:styleId="CM36">
    <w:name w:val="CM36"/>
    <w:basedOn w:val="Default"/>
    <w:next w:val="Default"/>
    <w:rsid w:val="00366F69"/>
    <w:pPr>
      <w:widowControl w:val="0"/>
    </w:pPr>
    <w:rPr>
      <w:rFonts w:ascii="TTE189F6F8t00" w:hAnsi="TTE189F6F8t00" w:cs="Mangal"/>
      <w:color w:val="auto"/>
      <w:lang w:bidi="hi-IN"/>
    </w:rPr>
  </w:style>
  <w:style w:type="paragraph" w:customStyle="1" w:styleId="CM2">
    <w:name w:val="CM2"/>
    <w:basedOn w:val="Default"/>
    <w:next w:val="Default"/>
    <w:rsid w:val="00366F69"/>
    <w:pPr>
      <w:widowControl w:val="0"/>
      <w:spacing w:line="320" w:lineRule="atLeast"/>
    </w:pPr>
    <w:rPr>
      <w:rFonts w:ascii="TTE189F6F8t00" w:hAnsi="TTE189F6F8t00" w:cs="Mangal"/>
      <w:color w:val="auto"/>
      <w:lang w:bidi="hi-IN"/>
    </w:rPr>
  </w:style>
  <w:style w:type="paragraph" w:customStyle="1" w:styleId="CM32">
    <w:name w:val="CM32"/>
    <w:basedOn w:val="Default"/>
    <w:next w:val="Default"/>
    <w:rsid w:val="00366F69"/>
    <w:pPr>
      <w:widowControl w:val="0"/>
    </w:pPr>
    <w:rPr>
      <w:rFonts w:ascii="TTE189F6F8t00" w:hAnsi="TTE189F6F8t00" w:cs="Mangal"/>
      <w:color w:val="auto"/>
      <w:lang w:bidi="hi-IN"/>
    </w:rPr>
  </w:style>
  <w:style w:type="paragraph" w:customStyle="1" w:styleId="CM45">
    <w:name w:val="CM45"/>
    <w:basedOn w:val="Default"/>
    <w:next w:val="Default"/>
    <w:rsid w:val="00366F69"/>
    <w:pPr>
      <w:widowControl w:val="0"/>
    </w:pPr>
    <w:rPr>
      <w:rFonts w:ascii="TTE189F6F8t00" w:hAnsi="TTE189F6F8t00" w:cs="Mangal"/>
      <w:color w:val="auto"/>
      <w:lang w:bidi="hi-IN"/>
    </w:rPr>
  </w:style>
  <w:style w:type="paragraph" w:customStyle="1" w:styleId="CM29">
    <w:name w:val="CM29"/>
    <w:basedOn w:val="Default"/>
    <w:next w:val="Default"/>
    <w:rsid w:val="00366F69"/>
    <w:pPr>
      <w:widowControl w:val="0"/>
      <w:spacing w:line="326" w:lineRule="atLeast"/>
    </w:pPr>
    <w:rPr>
      <w:rFonts w:ascii="TTE189F6F8t00" w:hAnsi="TTE189F6F8t00" w:cs="Mangal"/>
      <w:color w:val="auto"/>
      <w:lang w:bidi="hi-IN"/>
    </w:rPr>
  </w:style>
  <w:style w:type="paragraph" w:customStyle="1" w:styleId="CM9">
    <w:name w:val="CM9"/>
    <w:basedOn w:val="Default"/>
    <w:next w:val="Default"/>
    <w:rsid w:val="00366F69"/>
    <w:pPr>
      <w:widowControl w:val="0"/>
      <w:spacing w:line="323" w:lineRule="atLeast"/>
    </w:pPr>
    <w:rPr>
      <w:rFonts w:ascii="TTE189F6F8t00" w:hAnsi="TTE189F6F8t00" w:cs="Mangal"/>
      <w:color w:val="auto"/>
      <w:lang w:bidi="hi-IN"/>
    </w:rPr>
  </w:style>
  <w:style w:type="paragraph" w:customStyle="1" w:styleId="CM46">
    <w:name w:val="CM46"/>
    <w:basedOn w:val="Default"/>
    <w:next w:val="Default"/>
    <w:rsid w:val="00366F69"/>
    <w:pPr>
      <w:widowControl w:val="0"/>
    </w:pPr>
    <w:rPr>
      <w:rFonts w:ascii="TTE189F6F8t00" w:hAnsi="TTE189F6F8t00" w:cs="Mangal"/>
      <w:color w:val="auto"/>
      <w:lang w:bidi="hi-IN"/>
    </w:rPr>
  </w:style>
  <w:style w:type="table" w:styleId="TableColumns5">
    <w:name w:val="Table Columns 5"/>
    <w:basedOn w:val="TableNormal"/>
    <w:rsid w:val="00366F69"/>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3">
    <w:name w:val="Table Columns 3"/>
    <w:basedOn w:val="TableNormal"/>
    <w:rsid w:val="00366F69"/>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366F69"/>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DocumentMap">
    <w:name w:val="Document Map"/>
    <w:basedOn w:val="Normal"/>
    <w:link w:val="DocumentMapChar"/>
    <w:rsid w:val="00366F69"/>
    <w:pPr>
      <w:shd w:val="clear" w:color="auto" w:fill="000080"/>
      <w:spacing w:line="240" w:lineRule="auto"/>
      <w:jc w:val="left"/>
    </w:pPr>
    <w:rPr>
      <w:rFonts w:ascii="Tahoma" w:hAnsi="Tahoma" w:cs="Tahoma"/>
      <w:lang w:val="en-US" w:bidi="gu-IN"/>
    </w:rPr>
  </w:style>
  <w:style w:type="character" w:customStyle="1" w:styleId="DocumentMapChar">
    <w:name w:val="Document Map Char"/>
    <w:basedOn w:val="DefaultParagraphFont"/>
    <w:link w:val="DocumentMap"/>
    <w:rsid w:val="00366F69"/>
    <w:rPr>
      <w:rFonts w:ascii="Tahoma" w:hAnsi="Tahoma" w:cs="Tahoma"/>
      <w:sz w:val="24"/>
      <w:szCs w:val="24"/>
      <w:shd w:val="clear" w:color="auto" w:fill="000080"/>
      <w:lang w:val="en-US" w:eastAsia="en-US" w:bidi="gu-IN"/>
    </w:rPr>
  </w:style>
  <w:style w:type="table" w:styleId="MediumGrid3-Accent6">
    <w:name w:val="Medium Grid 3 Accent 6"/>
    <w:basedOn w:val="TableNormal"/>
    <w:uiPriority w:val="69"/>
    <w:rsid w:val="002A1B9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character" w:styleId="Emphasis">
    <w:name w:val="Emphasis"/>
    <w:basedOn w:val="DefaultParagraphFont"/>
    <w:qFormat/>
    <w:rsid w:val="006F3344"/>
    <w:rPr>
      <w:i/>
      <w:iCs/>
    </w:rPr>
  </w:style>
  <w:style w:type="paragraph" w:styleId="PlainText">
    <w:name w:val="Plain Text"/>
    <w:basedOn w:val="Normal"/>
    <w:link w:val="PlainTextChar"/>
    <w:uiPriority w:val="99"/>
    <w:unhideWhenUsed/>
    <w:rsid w:val="001520C1"/>
    <w:pPr>
      <w:spacing w:line="240" w:lineRule="auto"/>
      <w:jc w:val="left"/>
    </w:pPr>
    <w:rPr>
      <w:rFonts w:ascii="Consolas" w:eastAsia="Calibri" w:hAnsi="Consolas"/>
      <w:sz w:val="21"/>
      <w:szCs w:val="21"/>
      <w:lang w:val="en-US"/>
    </w:rPr>
  </w:style>
  <w:style w:type="character" w:customStyle="1" w:styleId="PlainTextChar">
    <w:name w:val="Plain Text Char"/>
    <w:basedOn w:val="DefaultParagraphFont"/>
    <w:link w:val="PlainText"/>
    <w:uiPriority w:val="99"/>
    <w:rsid w:val="001520C1"/>
    <w:rPr>
      <w:rFonts w:ascii="Consolas" w:eastAsia="Calibri" w:hAnsi="Consolas"/>
      <w:sz w:val="21"/>
      <w:szCs w:val="21"/>
    </w:rPr>
  </w:style>
  <w:style w:type="paragraph" w:customStyle="1" w:styleId="Level11">
    <w:name w:val="Level 1.1"/>
    <w:aliases w:val="Reports"/>
    <w:basedOn w:val="Normal"/>
    <w:rsid w:val="00E21580"/>
    <w:pPr>
      <w:keepNext/>
      <w:keepLines/>
      <w:tabs>
        <w:tab w:val="left" w:pos="1440"/>
        <w:tab w:val="left" w:pos="2304"/>
      </w:tabs>
      <w:spacing w:after="288"/>
    </w:pPr>
    <w:rPr>
      <w:rFonts w:ascii="Tahoma" w:hAnsi="Tahoma"/>
      <w:kern w:val="28"/>
      <w:szCs w:val="20"/>
    </w:rPr>
  </w:style>
  <w:style w:type="table" w:customStyle="1" w:styleId="TableGrid1">
    <w:name w:val="Table Grid1"/>
    <w:basedOn w:val="TableNormal"/>
    <w:next w:val="TableGrid"/>
    <w:uiPriority w:val="59"/>
    <w:rsid w:val="005E1125"/>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Text">
    <w:name w:val="TableText"/>
    <w:qFormat/>
    <w:rsid w:val="0066014C"/>
    <w:pPr>
      <w:spacing w:line="276" w:lineRule="auto"/>
      <w:jc w:val="center"/>
    </w:pPr>
    <w:rPr>
      <w:rFonts w:asciiTheme="minorHAnsi" w:eastAsiaTheme="minorHAnsi" w:hAnsiTheme="minorHAnsi" w:cstheme="minorBidi"/>
      <w:szCs w:val="22"/>
    </w:rPr>
  </w:style>
  <w:style w:type="table" w:customStyle="1" w:styleId="LightGrid-Accent11">
    <w:name w:val="Light Grid - Accent 11"/>
    <w:basedOn w:val="TableNormal"/>
    <w:uiPriority w:val="62"/>
    <w:rsid w:val="0066014C"/>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Subtitle">
    <w:name w:val="Subtitle"/>
    <w:basedOn w:val="Normal"/>
    <w:next w:val="Normal"/>
    <w:link w:val="SubtitleChar"/>
    <w:uiPriority w:val="11"/>
    <w:qFormat/>
    <w:rsid w:val="00FB3380"/>
    <w:pPr>
      <w:numPr>
        <w:ilvl w:val="1"/>
      </w:numPr>
      <w:spacing w:after="200"/>
      <w:jc w:val="left"/>
    </w:pPr>
    <w:rPr>
      <w:rFonts w:asciiTheme="majorHAnsi" w:eastAsiaTheme="majorEastAsia" w:hAnsiTheme="majorHAnsi" w:cstheme="majorBidi"/>
      <w:i/>
      <w:iCs/>
      <w:color w:val="4F81BD" w:themeColor="accent1"/>
      <w:spacing w:val="15"/>
      <w:lang w:val="en-US"/>
    </w:rPr>
  </w:style>
  <w:style w:type="character" w:customStyle="1" w:styleId="SubtitleChar">
    <w:name w:val="Subtitle Char"/>
    <w:basedOn w:val="DefaultParagraphFont"/>
    <w:link w:val="Subtitle"/>
    <w:uiPriority w:val="11"/>
    <w:rsid w:val="00FB3380"/>
    <w:rPr>
      <w:rFonts w:asciiTheme="majorHAnsi" w:eastAsiaTheme="majorEastAsia" w:hAnsiTheme="majorHAnsi" w:cstheme="majorBidi"/>
      <w:i/>
      <w:iCs/>
      <w:color w:val="4F81BD" w:themeColor="accent1"/>
      <w:spacing w:val="15"/>
      <w:sz w:val="24"/>
      <w:szCs w:val="24"/>
    </w:rPr>
  </w:style>
  <w:style w:type="paragraph" w:styleId="NoSpacing">
    <w:name w:val="No Spacing"/>
    <w:link w:val="NoSpacingChar"/>
    <w:uiPriority w:val="1"/>
    <w:qFormat/>
    <w:rsid w:val="00164907"/>
    <w:rPr>
      <w:rFonts w:asciiTheme="minorHAnsi" w:eastAsiaTheme="minorHAnsi" w:hAnsiTheme="minorHAnsi" w:cstheme="minorBidi"/>
      <w:sz w:val="22"/>
      <w:szCs w:val="22"/>
      <w:lang w:val="en-GB"/>
    </w:rPr>
  </w:style>
  <w:style w:type="character" w:customStyle="1" w:styleId="NoSpacingChar">
    <w:name w:val="No Spacing Char"/>
    <w:basedOn w:val="DefaultParagraphFont"/>
    <w:link w:val="NoSpacing"/>
    <w:uiPriority w:val="1"/>
    <w:rsid w:val="00164907"/>
    <w:rPr>
      <w:rFonts w:asciiTheme="minorHAnsi" w:eastAsiaTheme="minorHAnsi" w:hAnsiTheme="minorHAnsi" w:cstheme="minorBidi"/>
      <w:sz w:val="22"/>
      <w:szCs w:val="22"/>
      <w:lang w:val="en-GB"/>
    </w:rPr>
  </w:style>
  <w:style w:type="paragraph" w:styleId="FootnoteText">
    <w:name w:val="footnote text"/>
    <w:basedOn w:val="Normal"/>
    <w:link w:val="FootnoteTextChar"/>
    <w:uiPriority w:val="99"/>
    <w:unhideWhenUsed/>
    <w:rsid w:val="00284820"/>
    <w:pPr>
      <w:spacing w:line="240" w:lineRule="auto"/>
      <w:ind w:left="1440" w:hanging="360"/>
    </w:pPr>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rsid w:val="00284820"/>
    <w:rPr>
      <w:rFonts w:asciiTheme="minorHAnsi" w:eastAsiaTheme="minorHAnsi" w:hAnsiTheme="minorHAnsi" w:cstheme="minorBidi"/>
    </w:rPr>
  </w:style>
  <w:style w:type="character" w:styleId="FootnoteReference">
    <w:name w:val="footnote reference"/>
    <w:basedOn w:val="DefaultParagraphFont"/>
    <w:uiPriority w:val="99"/>
    <w:unhideWhenUsed/>
    <w:rsid w:val="00284820"/>
    <w:rPr>
      <w:vertAlign w:val="superscript"/>
    </w:rPr>
  </w:style>
  <w:style w:type="character" w:styleId="FollowedHyperlink">
    <w:name w:val="FollowedHyperlink"/>
    <w:basedOn w:val="DefaultParagraphFont"/>
    <w:uiPriority w:val="99"/>
    <w:rsid w:val="00284820"/>
    <w:rPr>
      <w:color w:val="800080" w:themeColor="followedHyperlink"/>
      <w:u w:val="single"/>
    </w:rPr>
  </w:style>
  <w:style w:type="character" w:customStyle="1" w:styleId="apple-converted-space">
    <w:name w:val="apple-converted-space"/>
    <w:basedOn w:val="DefaultParagraphFont"/>
    <w:rsid w:val="00B8028C"/>
  </w:style>
  <w:style w:type="paragraph" w:customStyle="1" w:styleId="StyleLeft038">
    <w:name w:val="Style Left:  0.38&quot;"/>
    <w:basedOn w:val="Normal"/>
    <w:rsid w:val="00DB00A1"/>
    <w:pPr>
      <w:spacing w:before="60" w:after="60"/>
      <w:ind w:left="720"/>
    </w:pPr>
    <w:rPr>
      <w:szCs w:val="20"/>
    </w:rPr>
  </w:style>
  <w:style w:type="paragraph" w:styleId="TOCHeading">
    <w:name w:val="TOC Heading"/>
    <w:basedOn w:val="Heading1"/>
    <w:next w:val="Normal"/>
    <w:uiPriority w:val="39"/>
    <w:semiHidden/>
    <w:unhideWhenUsed/>
    <w:qFormat/>
    <w:rsid w:val="008E6E87"/>
    <w:pPr>
      <w:keepLines/>
      <w:numPr>
        <w:numId w:val="0"/>
      </w:numPr>
      <w:shd w:val="clear" w:color="auto" w:fill="auto"/>
      <w:spacing w:before="480" w:after="0" w:line="276" w:lineRule="auto"/>
      <w:jc w:val="left"/>
      <w:outlineLvl w:val="9"/>
    </w:pPr>
    <w:rPr>
      <w:rFonts w:asciiTheme="majorHAnsi" w:eastAsiaTheme="majorEastAsia" w:hAnsiTheme="majorHAnsi" w:cstheme="majorBidi"/>
      <w:caps w:val="0"/>
      <w:color w:val="365F91" w:themeColor="accent1" w:themeShade="BF"/>
      <w:kern w:val="0"/>
      <w:sz w:val="28"/>
      <w:szCs w:val="2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2A82"/>
    <w:pPr>
      <w:spacing w:line="276" w:lineRule="auto"/>
      <w:jc w:val="both"/>
    </w:pPr>
    <w:rPr>
      <w:rFonts w:ascii="Calibri" w:hAnsi="Calibri"/>
      <w:sz w:val="24"/>
      <w:szCs w:val="24"/>
      <w:lang w:val="en-GB"/>
    </w:rPr>
  </w:style>
  <w:style w:type="paragraph" w:styleId="Heading1">
    <w:name w:val="heading 1"/>
    <w:aliases w:val="Section"/>
    <w:basedOn w:val="Normal"/>
    <w:next w:val="Heading2"/>
    <w:uiPriority w:val="9"/>
    <w:qFormat/>
    <w:rsid w:val="00BF0342"/>
    <w:pPr>
      <w:keepNext/>
      <w:numPr>
        <w:numId w:val="1"/>
      </w:numPr>
      <w:shd w:val="clear" w:color="auto" w:fill="C2D69B"/>
      <w:spacing w:before="120" w:after="120" w:line="360" w:lineRule="auto"/>
      <w:outlineLvl w:val="0"/>
    </w:pPr>
    <w:rPr>
      <w:rFonts w:cs="Arial"/>
      <w:b/>
      <w:bCs/>
      <w:caps/>
      <w:kern w:val="32"/>
      <w:szCs w:val="32"/>
    </w:rPr>
  </w:style>
  <w:style w:type="paragraph" w:styleId="Heading2">
    <w:name w:val="heading 2"/>
    <w:basedOn w:val="Normal"/>
    <w:link w:val="Heading2Char"/>
    <w:qFormat/>
    <w:rsid w:val="00963A1F"/>
    <w:pPr>
      <w:keepNext/>
      <w:numPr>
        <w:ilvl w:val="1"/>
        <w:numId w:val="1"/>
      </w:numPr>
      <w:outlineLvl w:val="1"/>
    </w:pPr>
    <w:rPr>
      <w:rFonts w:cs="Arial"/>
      <w:b/>
      <w:bCs/>
      <w:iCs/>
      <w:szCs w:val="28"/>
    </w:rPr>
  </w:style>
  <w:style w:type="paragraph" w:styleId="Heading3">
    <w:name w:val="heading 3"/>
    <w:basedOn w:val="Normal"/>
    <w:link w:val="Heading3Char"/>
    <w:qFormat/>
    <w:rsid w:val="00C62D37"/>
    <w:pPr>
      <w:widowControl w:val="0"/>
      <w:numPr>
        <w:ilvl w:val="2"/>
        <w:numId w:val="1"/>
      </w:numPr>
      <w:tabs>
        <w:tab w:val="clear" w:pos="1260"/>
      </w:tabs>
      <w:spacing w:before="40" w:after="40"/>
      <w:ind w:left="864" w:hanging="864"/>
      <w:outlineLvl w:val="2"/>
    </w:pPr>
    <w:rPr>
      <w:rFonts w:asciiTheme="minorHAnsi" w:hAnsiTheme="minorHAnsi" w:cstheme="minorHAnsi"/>
      <w:bCs/>
      <w:iCs/>
      <w:lang w:bidi="hi-IN"/>
    </w:rPr>
  </w:style>
  <w:style w:type="paragraph" w:styleId="Heading4">
    <w:name w:val="heading 4"/>
    <w:basedOn w:val="Normal"/>
    <w:qFormat/>
    <w:rsid w:val="00D13D13"/>
    <w:pPr>
      <w:numPr>
        <w:ilvl w:val="3"/>
        <w:numId w:val="1"/>
      </w:numPr>
      <w:outlineLvl w:val="3"/>
    </w:pPr>
    <w:rPr>
      <w:bCs/>
      <w:szCs w:val="28"/>
    </w:rPr>
  </w:style>
  <w:style w:type="paragraph" w:styleId="Heading5">
    <w:name w:val="heading 5"/>
    <w:basedOn w:val="Normal"/>
    <w:next w:val="Normal"/>
    <w:uiPriority w:val="99"/>
    <w:qFormat/>
    <w:rsid w:val="00DD1983"/>
    <w:pPr>
      <w:numPr>
        <w:ilvl w:val="4"/>
        <w:numId w:val="4"/>
      </w:numPr>
      <w:tabs>
        <w:tab w:val="left" w:pos="1440"/>
      </w:tabs>
      <w:spacing w:before="240" w:after="60"/>
      <w:outlineLvl w:val="4"/>
    </w:pPr>
    <w:rPr>
      <w:b/>
      <w:bCs/>
      <w:i/>
      <w:iCs/>
      <w:szCs w:val="26"/>
    </w:rPr>
  </w:style>
  <w:style w:type="paragraph" w:styleId="Heading6">
    <w:name w:val="heading 6"/>
    <w:basedOn w:val="Normal"/>
    <w:next w:val="Normal"/>
    <w:uiPriority w:val="99"/>
    <w:qFormat/>
    <w:rsid w:val="00DD1983"/>
    <w:pPr>
      <w:numPr>
        <w:ilvl w:val="5"/>
        <w:numId w:val="4"/>
      </w:numPr>
      <w:spacing w:before="240" w:after="60"/>
      <w:outlineLvl w:val="5"/>
    </w:pPr>
    <w:rPr>
      <w:b/>
      <w:bCs/>
      <w:sz w:val="22"/>
      <w:szCs w:val="22"/>
    </w:rPr>
  </w:style>
  <w:style w:type="paragraph" w:styleId="Heading7">
    <w:name w:val="heading 7"/>
    <w:basedOn w:val="Normal"/>
    <w:next w:val="Normal"/>
    <w:uiPriority w:val="99"/>
    <w:qFormat/>
    <w:rsid w:val="00DD1983"/>
    <w:pPr>
      <w:numPr>
        <w:ilvl w:val="6"/>
        <w:numId w:val="4"/>
      </w:numPr>
      <w:spacing w:before="240" w:after="60"/>
      <w:outlineLvl w:val="6"/>
    </w:pPr>
  </w:style>
  <w:style w:type="paragraph" w:styleId="Heading8">
    <w:name w:val="heading 8"/>
    <w:basedOn w:val="Normal"/>
    <w:next w:val="Normal"/>
    <w:uiPriority w:val="99"/>
    <w:qFormat/>
    <w:rsid w:val="00DD1983"/>
    <w:pPr>
      <w:numPr>
        <w:ilvl w:val="7"/>
        <w:numId w:val="4"/>
      </w:numPr>
      <w:spacing w:before="240" w:after="60"/>
      <w:outlineLvl w:val="7"/>
    </w:pPr>
    <w:rPr>
      <w:i/>
      <w:iCs/>
    </w:rPr>
  </w:style>
  <w:style w:type="paragraph" w:styleId="Heading9">
    <w:name w:val="heading 9"/>
    <w:basedOn w:val="Normal"/>
    <w:next w:val="Normal"/>
    <w:uiPriority w:val="99"/>
    <w:qFormat/>
    <w:rsid w:val="00DD1983"/>
    <w:pPr>
      <w:numPr>
        <w:ilvl w:val="8"/>
        <w:numId w:val="4"/>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21294"/>
    <w:rPr>
      <w:rFonts w:ascii="Calibri" w:hAnsi="Calibri" w:cs="Arial"/>
      <w:b/>
      <w:bCs/>
      <w:iCs/>
      <w:sz w:val="24"/>
      <w:szCs w:val="28"/>
      <w:lang w:val="en-GB"/>
    </w:rPr>
  </w:style>
  <w:style w:type="character" w:customStyle="1" w:styleId="Heading3Char">
    <w:name w:val="Heading 3 Char"/>
    <w:basedOn w:val="DefaultParagraphFont"/>
    <w:link w:val="Heading3"/>
    <w:rsid w:val="00C62D37"/>
    <w:rPr>
      <w:rFonts w:asciiTheme="minorHAnsi" w:hAnsiTheme="minorHAnsi" w:cstheme="minorHAnsi"/>
      <w:bCs/>
      <w:iCs/>
      <w:sz w:val="24"/>
      <w:szCs w:val="24"/>
      <w:lang w:val="en-GB" w:bidi="hi-IN"/>
    </w:rPr>
  </w:style>
  <w:style w:type="paragraph" w:styleId="Header">
    <w:name w:val="header"/>
    <w:basedOn w:val="Normal"/>
    <w:link w:val="HeaderChar"/>
    <w:uiPriority w:val="99"/>
    <w:rsid w:val="005A67F1"/>
    <w:pPr>
      <w:tabs>
        <w:tab w:val="center" w:pos="4320"/>
        <w:tab w:val="right" w:pos="8640"/>
      </w:tabs>
    </w:pPr>
  </w:style>
  <w:style w:type="character" w:customStyle="1" w:styleId="HeaderChar">
    <w:name w:val="Header Char"/>
    <w:basedOn w:val="DefaultParagraphFont"/>
    <w:link w:val="Header"/>
    <w:uiPriority w:val="99"/>
    <w:rsid w:val="00FB62F4"/>
    <w:rPr>
      <w:rFonts w:ascii="Calibri" w:hAnsi="Calibri"/>
      <w:sz w:val="24"/>
      <w:szCs w:val="24"/>
      <w:lang w:val="en-GB"/>
    </w:rPr>
  </w:style>
  <w:style w:type="paragraph" w:styleId="TableofFigures">
    <w:name w:val="table of figures"/>
    <w:basedOn w:val="Normal"/>
    <w:next w:val="Normal"/>
    <w:uiPriority w:val="99"/>
    <w:rsid w:val="001D22FE"/>
    <w:pPr>
      <w:ind w:left="480" w:hanging="480"/>
      <w:jc w:val="left"/>
    </w:pPr>
    <w:rPr>
      <w:rFonts w:cs="Calibri"/>
      <w:caps/>
      <w:sz w:val="20"/>
      <w:szCs w:val="20"/>
    </w:rPr>
  </w:style>
  <w:style w:type="paragraph" w:styleId="TOC1">
    <w:name w:val="toc 1"/>
    <w:basedOn w:val="Normal"/>
    <w:next w:val="Normal"/>
    <w:autoRedefine/>
    <w:uiPriority w:val="39"/>
    <w:qFormat/>
    <w:rsid w:val="00B97654"/>
    <w:pPr>
      <w:tabs>
        <w:tab w:val="left" w:pos="1200"/>
        <w:tab w:val="right" w:leader="dot" w:pos="9019"/>
      </w:tabs>
      <w:spacing w:before="120" w:after="120"/>
      <w:jc w:val="left"/>
    </w:pPr>
    <w:rPr>
      <w:b/>
      <w:bCs/>
      <w:caps/>
      <w:noProof/>
    </w:rPr>
  </w:style>
  <w:style w:type="paragraph" w:styleId="Footer">
    <w:name w:val="footer"/>
    <w:basedOn w:val="Normal"/>
    <w:link w:val="FooterChar"/>
    <w:uiPriority w:val="99"/>
    <w:rsid w:val="005A67F1"/>
    <w:pPr>
      <w:tabs>
        <w:tab w:val="center" w:pos="4320"/>
        <w:tab w:val="right" w:pos="8640"/>
      </w:tabs>
    </w:pPr>
  </w:style>
  <w:style w:type="character" w:customStyle="1" w:styleId="FooterChar">
    <w:name w:val="Footer Char"/>
    <w:basedOn w:val="DefaultParagraphFont"/>
    <w:link w:val="Footer"/>
    <w:uiPriority w:val="99"/>
    <w:rsid w:val="00136900"/>
    <w:rPr>
      <w:rFonts w:ascii="Calibri" w:hAnsi="Calibri"/>
      <w:sz w:val="24"/>
      <w:szCs w:val="24"/>
      <w:lang w:val="en-GB"/>
    </w:rPr>
  </w:style>
  <w:style w:type="paragraph" w:styleId="TOC2">
    <w:name w:val="toc 2"/>
    <w:basedOn w:val="Normal"/>
    <w:next w:val="Normal"/>
    <w:autoRedefine/>
    <w:uiPriority w:val="39"/>
    <w:qFormat/>
    <w:rsid w:val="007D741D"/>
    <w:pPr>
      <w:tabs>
        <w:tab w:val="left" w:pos="720"/>
        <w:tab w:val="right" w:leader="dot" w:pos="8659"/>
      </w:tabs>
      <w:ind w:left="720" w:hanging="480"/>
      <w:jc w:val="left"/>
    </w:pPr>
    <w:rPr>
      <w:smallCaps/>
      <w:noProof/>
    </w:rPr>
  </w:style>
  <w:style w:type="character" w:styleId="Hyperlink">
    <w:name w:val="Hyperlink"/>
    <w:basedOn w:val="DefaultParagraphFont"/>
    <w:uiPriority w:val="99"/>
    <w:rsid w:val="00FA6A04"/>
    <w:rPr>
      <w:color w:val="0000FF"/>
      <w:u w:val="single"/>
    </w:rPr>
  </w:style>
  <w:style w:type="paragraph" w:styleId="TOC3">
    <w:name w:val="toc 3"/>
    <w:basedOn w:val="Normal"/>
    <w:next w:val="Normal"/>
    <w:autoRedefine/>
    <w:uiPriority w:val="39"/>
    <w:qFormat/>
    <w:rsid w:val="00A67F89"/>
    <w:pPr>
      <w:ind w:left="480"/>
      <w:jc w:val="left"/>
    </w:pPr>
    <w:rPr>
      <w:i/>
      <w:iCs/>
      <w:sz w:val="20"/>
      <w:szCs w:val="20"/>
    </w:rPr>
  </w:style>
  <w:style w:type="paragraph" w:styleId="Caption">
    <w:name w:val="caption"/>
    <w:basedOn w:val="Normal"/>
    <w:next w:val="Normal"/>
    <w:autoRedefine/>
    <w:qFormat/>
    <w:rsid w:val="00061AA6"/>
    <w:pPr>
      <w:keepNext/>
      <w:widowControl w:val="0"/>
      <w:spacing w:before="40" w:after="40" w:line="240" w:lineRule="auto"/>
      <w:jc w:val="center"/>
    </w:pPr>
    <w:rPr>
      <w:b/>
      <w:bCs/>
    </w:rPr>
  </w:style>
  <w:style w:type="character" w:styleId="CommentReference">
    <w:name w:val="annotation reference"/>
    <w:basedOn w:val="DefaultParagraphFont"/>
    <w:semiHidden/>
    <w:rsid w:val="00E22B10"/>
    <w:rPr>
      <w:sz w:val="16"/>
      <w:szCs w:val="16"/>
    </w:rPr>
  </w:style>
  <w:style w:type="paragraph" w:styleId="CommentText">
    <w:name w:val="annotation text"/>
    <w:basedOn w:val="Normal"/>
    <w:semiHidden/>
    <w:rsid w:val="00E22B10"/>
    <w:rPr>
      <w:sz w:val="20"/>
      <w:szCs w:val="20"/>
    </w:rPr>
  </w:style>
  <w:style w:type="paragraph" w:styleId="CommentSubject">
    <w:name w:val="annotation subject"/>
    <w:basedOn w:val="CommentText"/>
    <w:next w:val="CommentText"/>
    <w:semiHidden/>
    <w:rsid w:val="00E22B10"/>
    <w:rPr>
      <w:b/>
      <w:bCs/>
    </w:rPr>
  </w:style>
  <w:style w:type="paragraph" w:styleId="BalloonText">
    <w:name w:val="Balloon Text"/>
    <w:basedOn w:val="Normal"/>
    <w:semiHidden/>
    <w:rsid w:val="00E22B10"/>
    <w:rPr>
      <w:rFonts w:ascii="Tahoma" w:hAnsi="Tahoma" w:cs="Tahoma"/>
      <w:sz w:val="16"/>
      <w:szCs w:val="16"/>
    </w:rPr>
  </w:style>
  <w:style w:type="paragraph" w:customStyle="1" w:styleId="StyleCaptionCentered">
    <w:name w:val="Style Caption + Centered"/>
    <w:basedOn w:val="Caption"/>
    <w:rsid w:val="00921728"/>
    <w:rPr>
      <w:rFonts w:ascii="Book Antiqua" w:hAnsi="Book Antiqua"/>
    </w:rPr>
  </w:style>
  <w:style w:type="paragraph" w:customStyle="1" w:styleId="StyleHeading3Bold">
    <w:name w:val="Style Heading 3 + Bold"/>
    <w:basedOn w:val="Heading3"/>
    <w:rsid w:val="00DD3374"/>
    <w:rPr>
      <w:b/>
    </w:rPr>
  </w:style>
  <w:style w:type="paragraph" w:customStyle="1" w:styleId="StyleHeading2NotLatinBoldBefore6ptAfter6pt">
    <w:name w:val="Style Heading 2 + Not (Latin) Bold Before:  6 pt After:  6 pt"/>
    <w:basedOn w:val="Heading2"/>
    <w:rsid w:val="00725C29"/>
    <w:pPr>
      <w:keepNext w:val="0"/>
      <w:spacing w:after="120"/>
    </w:pPr>
    <w:rPr>
      <w:b w:val="0"/>
    </w:rPr>
  </w:style>
  <w:style w:type="paragraph" w:customStyle="1" w:styleId="StyleCaptionCentered1">
    <w:name w:val="Style Caption + Centered1"/>
    <w:basedOn w:val="Caption"/>
    <w:rsid w:val="004C7AAF"/>
    <w:rPr>
      <w:rFonts w:ascii="Book Antiqua" w:hAnsi="Book Antiqua"/>
    </w:rPr>
  </w:style>
  <w:style w:type="paragraph" w:customStyle="1" w:styleId="StyleHeading2After6pt">
    <w:name w:val="Style Heading 2 + After:  6 pt"/>
    <w:basedOn w:val="Heading2"/>
    <w:rsid w:val="006502A0"/>
    <w:pPr>
      <w:spacing w:after="120"/>
    </w:pPr>
    <w:rPr>
      <w:rFonts w:cs="Times New Roman"/>
      <w:iCs w:val="0"/>
      <w:szCs w:val="20"/>
    </w:rPr>
  </w:style>
  <w:style w:type="character" w:styleId="PageNumber">
    <w:name w:val="page number"/>
    <w:basedOn w:val="DefaultParagraphFont"/>
    <w:rsid w:val="00DD1983"/>
  </w:style>
  <w:style w:type="paragraph" w:styleId="TOC4">
    <w:name w:val="toc 4"/>
    <w:basedOn w:val="Normal"/>
    <w:next w:val="Normal"/>
    <w:autoRedefine/>
    <w:uiPriority w:val="39"/>
    <w:rsid w:val="00C77A08"/>
    <w:pPr>
      <w:ind w:left="720"/>
      <w:jc w:val="left"/>
    </w:pPr>
    <w:rPr>
      <w:sz w:val="18"/>
      <w:szCs w:val="18"/>
    </w:rPr>
  </w:style>
  <w:style w:type="paragraph" w:styleId="TOC5">
    <w:name w:val="toc 5"/>
    <w:basedOn w:val="Normal"/>
    <w:next w:val="Normal"/>
    <w:autoRedefine/>
    <w:uiPriority w:val="39"/>
    <w:rsid w:val="00C77A08"/>
    <w:pPr>
      <w:ind w:left="960"/>
      <w:jc w:val="left"/>
    </w:pPr>
    <w:rPr>
      <w:sz w:val="18"/>
      <w:szCs w:val="18"/>
    </w:rPr>
  </w:style>
  <w:style w:type="paragraph" w:styleId="TOC6">
    <w:name w:val="toc 6"/>
    <w:basedOn w:val="Normal"/>
    <w:next w:val="Normal"/>
    <w:autoRedefine/>
    <w:uiPriority w:val="39"/>
    <w:rsid w:val="00C77A08"/>
    <w:pPr>
      <w:ind w:left="1200"/>
      <w:jc w:val="left"/>
    </w:pPr>
    <w:rPr>
      <w:sz w:val="18"/>
      <w:szCs w:val="18"/>
    </w:rPr>
  </w:style>
  <w:style w:type="paragraph" w:styleId="TOC7">
    <w:name w:val="toc 7"/>
    <w:basedOn w:val="Normal"/>
    <w:next w:val="Normal"/>
    <w:autoRedefine/>
    <w:uiPriority w:val="39"/>
    <w:rsid w:val="00C77A08"/>
    <w:pPr>
      <w:ind w:left="1440"/>
      <w:jc w:val="left"/>
    </w:pPr>
    <w:rPr>
      <w:sz w:val="18"/>
      <w:szCs w:val="18"/>
    </w:rPr>
  </w:style>
  <w:style w:type="paragraph" w:styleId="TOC8">
    <w:name w:val="toc 8"/>
    <w:basedOn w:val="Normal"/>
    <w:next w:val="Normal"/>
    <w:autoRedefine/>
    <w:uiPriority w:val="39"/>
    <w:rsid w:val="00C77A08"/>
    <w:pPr>
      <w:ind w:left="1680"/>
      <w:jc w:val="left"/>
    </w:pPr>
    <w:rPr>
      <w:sz w:val="18"/>
      <w:szCs w:val="18"/>
    </w:rPr>
  </w:style>
  <w:style w:type="paragraph" w:styleId="TOC9">
    <w:name w:val="toc 9"/>
    <w:basedOn w:val="Normal"/>
    <w:next w:val="Normal"/>
    <w:autoRedefine/>
    <w:uiPriority w:val="39"/>
    <w:rsid w:val="00C77A08"/>
    <w:pPr>
      <w:ind w:left="1920"/>
      <w:jc w:val="left"/>
    </w:pPr>
    <w:rPr>
      <w:sz w:val="18"/>
      <w:szCs w:val="18"/>
    </w:rPr>
  </w:style>
  <w:style w:type="table" w:styleId="TableGrid">
    <w:name w:val="Table Grid"/>
    <w:basedOn w:val="TableNormal"/>
    <w:uiPriority w:val="59"/>
    <w:rsid w:val="006F5F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NotBold">
    <w:name w:val="Style Heading 2 + Not Bold"/>
    <w:basedOn w:val="Heading2"/>
    <w:rsid w:val="00FC2172"/>
    <w:rPr>
      <w:b w:val="0"/>
      <w:bCs w:val="0"/>
      <w:iCs w:val="0"/>
    </w:rPr>
  </w:style>
  <w:style w:type="paragraph" w:styleId="BodyTextIndent">
    <w:name w:val="Body Text Indent"/>
    <w:basedOn w:val="Normal"/>
    <w:link w:val="BodyTextIndentChar"/>
    <w:rsid w:val="00BF5ABC"/>
    <w:pPr>
      <w:spacing w:line="240" w:lineRule="auto"/>
      <w:ind w:left="720"/>
    </w:pPr>
    <w:rPr>
      <w:rFonts w:ascii="Times New Roman" w:hAnsi="Times New Roman"/>
      <w:bCs/>
      <w:lang w:val="en-US"/>
    </w:rPr>
  </w:style>
  <w:style w:type="character" w:customStyle="1" w:styleId="BodyTextIndentChar">
    <w:name w:val="Body Text Indent Char"/>
    <w:basedOn w:val="DefaultParagraphFont"/>
    <w:link w:val="BodyTextIndent"/>
    <w:rsid w:val="00BF5ABC"/>
    <w:rPr>
      <w:bCs/>
      <w:sz w:val="24"/>
      <w:szCs w:val="24"/>
      <w:lang w:val="en-US" w:eastAsia="en-US"/>
    </w:rPr>
  </w:style>
  <w:style w:type="paragraph" w:styleId="ListParagraph">
    <w:name w:val="List Paragraph"/>
    <w:basedOn w:val="Normal"/>
    <w:link w:val="ListParagraphChar"/>
    <w:uiPriority w:val="34"/>
    <w:qFormat/>
    <w:rsid w:val="00860A39"/>
    <w:pPr>
      <w:widowControl w:val="0"/>
      <w:spacing w:before="60" w:after="60"/>
      <w:ind w:left="720"/>
    </w:pPr>
  </w:style>
  <w:style w:type="character" w:customStyle="1" w:styleId="ListParagraphChar">
    <w:name w:val="List Paragraph Char"/>
    <w:link w:val="ListParagraph"/>
    <w:uiPriority w:val="34"/>
    <w:locked/>
    <w:rsid w:val="00860A39"/>
    <w:rPr>
      <w:rFonts w:ascii="Calibri" w:hAnsi="Calibri"/>
      <w:sz w:val="24"/>
      <w:szCs w:val="24"/>
      <w:lang w:val="en-GB"/>
    </w:rPr>
  </w:style>
  <w:style w:type="paragraph" w:customStyle="1" w:styleId="Default">
    <w:name w:val="Default"/>
    <w:rsid w:val="008E3860"/>
    <w:pPr>
      <w:autoSpaceDE w:val="0"/>
      <w:autoSpaceDN w:val="0"/>
      <w:adjustRightInd w:val="0"/>
    </w:pPr>
    <w:rPr>
      <w:rFonts w:ascii="Calibri" w:hAnsi="Calibri" w:cs="Calibri"/>
      <w:color w:val="000000"/>
      <w:sz w:val="24"/>
      <w:szCs w:val="24"/>
    </w:rPr>
  </w:style>
  <w:style w:type="paragraph" w:styleId="NormalWeb">
    <w:name w:val="Normal (Web)"/>
    <w:basedOn w:val="Normal"/>
    <w:uiPriority w:val="99"/>
    <w:unhideWhenUsed/>
    <w:rsid w:val="00F303A5"/>
    <w:pPr>
      <w:spacing w:before="100" w:beforeAutospacing="1" w:after="100" w:afterAutospacing="1" w:line="240" w:lineRule="auto"/>
      <w:jc w:val="left"/>
    </w:pPr>
    <w:rPr>
      <w:rFonts w:ascii="Times New Roman" w:hAnsi="Times New Roman"/>
      <w:lang w:val="en-IN" w:eastAsia="en-IN"/>
    </w:rPr>
  </w:style>
  <w:style w:type="paragraph" w:customStyle="1" w:styleId="EDNormal">
    <w:name w:val="ED Normal"/>
    <w:basedOn w:val="Normal"/>
    <w:link w:val="EDNormalChar"/>
    <w:qFormat/>
    <w:rsid w:val="00C62D37"/>
    <w:pPr>
      <w:widowControl w:val="0"/>
      <w:tabs>
        <w:tab w:val="right" w:pos="9000"/>
      </w:tabs>
      <w:spacing w:before="40" w:after="40"/>
    </w:pPr>
    <w:rPr>
      <w:rFonts w:eastAsia="Calibri"/>
      <w:szCs w:val="22"/>
    </w:rPr>
  </w:style>
  <w:style w:type="character" w:customStyle="1" w:styleId="EDNormalChar">
    <w:name w:val="ED Normal Char"/>
    <w:basedOn w:val="DefaultParagraphFont"/>
    <w:link w:val="EDNormal"/>
    <w:rsid w:val="00C62D37"/>
    <w:rPr>
      <w:rFonts w:ascii="Calibri" w:eastAsia="Calibri" w:hAnsi="Calibri"/>
      <w:sz w:val="24"/>
      <w:szCs w:val="22"/>
      <w:lang w:val="en-GB"/>
    </w:rPr>
  </w:style>
  <w:style w:type="paragraph" w:customStyle="1" w:styleId="ED-H1">
    <w:name w:val="ED - H1"/>
    <w:basedOn w:val="Heading1"/>
    <w:next w:val="EDNormal"/>
    <w:link w:val="ED-H1Char"/>
    <w:autoRedefine/>
    <w:uiPriority w:val="99"/>
    <w:qFormat/>
    <w:rsid w:val="004F4F4E"/>
    <w:pPr>
      <w:keepLines/>
      <w:numPr>
        <w:numId w:val="4"/>
      </w:numPr>
      <w:shd w:val="clear" w:color="auto" w:fill="C2D69B" w:themeFill="accent3" w:themeFillTint="99"/>
      <w:spacing w:line="276" w:lineRule="auto"/>
      <w:jc w:val="left"/>
    </w:pPr>
    <w:rPr>
      <w:rFonts w:cs="Times New Roman"/>
      <w:kern w:val="0"/>
      <w:szCs w:val="28"/>
      <w:lang w:val="en-IN"/>
    </w:rPr>
  </w:style>
  <w:style w:type="character" w:customStyle="1" w:styleId="ED-H1Char">
    <w:name w:val="ED - H1 Char"/>
    <w:basedOn w:val="DefaultParagraphFont"/>
    <w:link w:val="ED-H1"/>
    <w:uiPriority w:val="99"/>
    <w:rsid w:val="004F4F4E"/>
    <w:rPr>
      <w:rFonts w:ascii="Calibri" w:hAnsi="Calibri"/>
      <w:b/>
      <w:bCs/>
      <w:caps/>
      <w:sz w:val="24"/>
      <w:szCs w:val="28"/>
      <w:shd w:val="clear" w:color="auto" w:fill="C2D69B" w:themeFill="accent3" w:themeFillTint="99"/>
      <w:lang w:val="en-IN"/>
    </w:rPr>
  </w:style>
  <w:style w:type="paragraph" w:customStyle="1" w:styleId="ED-H2">
    <w:name w:val="ED - H2"/>
    <w:basedOn w:val="Heading2"/>
    <w:next w:val="EDNormal"/>
    <w:link w:val="ED-H2Char"/>
    <w:qFormat/>
    <w:rsid w:val="004F4F4E"/>
    <w:pPr>
      <w:keepNext w:val="0"/>
      <w:widowControl w:val="0"/>
      <w:numPr>
        <w:numId w:val="4"/>
      </w:numPr>
      <w:spacing w:before="60" w:after="60"/>
    </w:pPr>
    <w:rPr>
      <w:rFonts w:cs="Times New Roman"/>
      <w:iCs w:val="0"/>
      <w:szCs w:val="26"/>
      <w:lang w:val="en-IN"/>
    </w:rPr>
  </w:style>
  <w:style w:type="character" w:customStyle="1" w:styleId="ED-H2Char">
    <w:name w:val="ED - H2 Char"/>
    <w:basedOn w:val="Heading2Char"/>
    <w:link w:val="ED-H2"/>
    <w:rsid w:val="004F4F4E"/>
    <w:rPr>
      <w:rFonts w:ascii="Calibri" w:hAnsi="Calibri" w:cs="Arial"/>
      <w:b/>
      <w:bCs/>
      <w:iCs w:val="0"/>
      <w:sz w:val="24"/>
      <w:szCs w:val="26"/>
      <w:lang w:val="en-IN"/>
    </w:rPr>
  </w:style>
  <w:style w:type="paragraph" w:customStyle="1" w:styleId="ED-H3">
    <w:name w:val="ED - H3"/>
    <w:basedOn w:val="Heading3"/>
    <w:next w:val="EDNormal"/>
    <w:link w:val="ED-H3Char"/>
    <w:qFormat/>
    <w:rsid w:val="004F4F4E"/>
    <w:pPr>
      <w:numPr>
        <w:numId w:val="4"/>
      </w:numPr>
    </w:pPr>
    <w:rPr>
      <w:rFonts w:cs="Times New Roman"/>
      <w:szCs w:val="22"/>
      <w:lang w:val="en-IN"/>
    </w:rPr>
  </w:style>
  <w:style w:type="character" w:customStyle="1" w:styleId="ED-H3Char">
    <w:name w:val="ED - H3 Char"/>
    <w:basedOn w:val="Heading3Char"/>
    <w:link w:val="ED-H3"/>
    <w:rsid w:val="004F4F4E"/>
    <w:rPr>
      <w:rFonts w:asciiTheme="minorHAnsi" w:hAnsiTheme="minorHAnsi" w:cstheme="minorHAnsi"/>
      <w:bCs/>
      <w:iCs/>
      <w:sz w:val="24"/>
      <w:szCs w:val="22"/>
      <w:lang w:val="en-IN" w:bidi="hi-IN"/>
    </w:rPr>
  </w:style>
  <w:style w:type="paragraph" w:customStyle="1" w:styleId="ED-H4">
    <w:name w:val="ED - H4"/>
    <w:basedOn w:val="Heading4"/>
    <w:next w:val="EDNormal"/>
    <w:uiPriority w:val="99"/>
    <w:qFormat/>
    <w:rsid w:val="00C97702"/>
    <w:pPr>
      <w:widowControl w:val="0"/>
      <w:numPr>
        <w:numId w:val="4"/>
      </w:numPr>
      <w:spacing w:before="40" w:after="40"/>
    </w:pPr>
    <w:rPr>
      <w:rFonts w:asciiTheme="minorHAnsi" w:hAnsiTheme="minorHAnsi"/>
      <w:iCs/>
      <w:szCs w:val="22"/>
      <w:lang w:val="en-IN"/>
    </w:rPr>
  </w:style>
  <w:style w:type="table" w:styleId="MediumGrid3-Accent2">
    <w:name w:val="Medium Grid 3 Accent 2"/>
    <w:basedOn w:val="TableNormal"/>
    <w:uiPriority w:val="69"/>
    <w:rsid w:val="00D15A8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Style1">
    <w:name w:val="Style1"/>
    <w:basedOn w:val="TableNormal"/>
    <w:rsid w:val="00D15A82"/>
    <w:tblPr/>
    <w:tcPr>
      <w:shd w:val="clear" w:color="auto" w:fill="00B050"/>
    </w:tcPr>
  </w:style>
  <w:style w:type="table" w:customStyle="1" w:styleId="Style2">
    <w:name w:val="Style2"/>
    <w:basedOn w:val="TableList4"/>
    <w:rsid w:val="00785206"/>
    <w:rPr>
      <w:rFonts w:ascii="Calibri" w:hAnsi="Calibri"/>
      <w:lang w:val="en-IN" w:eastAsia="en-IN" w:bidi="ta-IN"/>
    </w:rP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4">
    <w:name w:val="Table List 4"/>
    <w:basedOn w:val="TableNormal"/>
    <w:rsid w:val="00785206"/>
    <w:pPr>
      <w:spacing w:line="276"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3Deffects1">
    <w:name w:val="Table 3D effects 1"/>
    <w:basedOn w:val="TableNormal"/>
    <w:rsid w:val="00785206"/>
    <w:pPr>
      <w:spacing w:line="276"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olorful1">
    <w:name w:val="Table Colorful 1"/>
    <w:basedOn w:val="TableNormal"/>
    <w:rsid w:val="00785206"/>
    <w:pPr>
      <w:spacing w:line="276"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ntemporary">
    <w:name w:val="Table Contemporary"/>
    <w:basedOn w:val="TableNormal"/>
    <w:rsid w:val="00785206"/>
    <w:pPr>
      <w:spacing w:line="276"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MediumGrid1-Accent3">
    <w:name w:val="Medium Grid 1 Accent 3"/>
    <w:basedOn w:val="TableNormal"/>
    <w:uiPriority w:val="67"/>
    <w:rsid w:val="004E0E97"/>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Shading1-Accent2">
    <w:name w:val="Medium Shading 1 Accent 2"/>
    <w:basedOn w:val="TableNormal"/>
    <w:uiPriority w:val="63"/>
    <w:rsid w:val="004E0E97"/>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Grid1-Accent4">
    <w:name w:val="Medium Grid 1 Accent 4"/>
    <w:basedOn w:val="TableNormal"/>
    <w:uiPriority w:val="67"/>
    <w:rsid w:val="004E0E97"/>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Shading1-Accent3">
    <w:name w:val="Medium Shading 1 Accent 3"/>
    <w:basedOn w:val="TableNormal"/>
    <w:uiPriority w:val="63"/>
    <w:rsid w:val="00B14FE9"/>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Revision">
    <w:name w:val="Revision"/>
    <w:hidden/>
    <w:uiPriority w:val="99"/>
    <w:semiHidden/>
    <w:rsid w:val="00F53710"/>
    <w:rPr>
      <w:rFonts w:ascii="Calibri" w:hAnsi="Calibri"/>
      <w:sz w:val="24"/>
      <w:szCs w:val="24"/>
      <w:lang w:val="en-GB"/>
    </w:rPr>
  </w:style>
  <w:style w:type="paragraph" w:customStyle="1" w:styleId="TableContents">
    <w:name w:val="Table Contents"/>
    <w:basedOn w:val="Normal"/>
    <w:rsid w:val="00324644"/>
    <w:pPr>
      <w:widowControl w:val="0"/>
      <w:suppressLineNumbers/>
      <w:suppressAutoHyphens/>
      <w:spacing w:line="240" w:lineRule="auto"/>
      <w:jc w:val="left"/>
    </w:pPr>
    <w:rPr>
      <w:rFonts w:ascii="Times New Roman" w:eastAsia="Lucida Sans Unicode" w:hAnsi="Times New Roman" w:cs="Tahoma"/>
      <w:kern w:val="1"/>
      <w:lang w:val="en-US" w:eastAsia="hi-IN" w:bidi="hi-IN"/>
    </w:rPr>
  </w:style>
  <w:style w:type="table" w:styleId="MediumGrid2-Accent1">
    <w:name w:val="Medium Grid 2 Accent 1"/>
    <w:basedOn w:val="TableNormal"/>
    <w:uiPriority w:val="68"/>
    <w:rsid w:val="00792309"/>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3-Accent3">
    <w:name w:val="Medium Grid 3 Accent 3"/>
    <w:basedOn w:val="TableNormal"/>
    <w:uiPriority w:val="69"/>
    <w:rsid w:val="009C449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ColorfulList-Accent4">
    <w:name w:val="Colorful List Accent 4"/>
    <w:basedOn w:val="TableNormal"/>
    <w:uiPriority w:val="72"/>
    <w:rsid w:val="002F32E9"/>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customStyle="1" w:styleId="CM10">
    <w:name w:val="CM10"/>
    <w:basedOn w:val="Default"/>
    <w:next w:val="Default"/>
    <w:rsid w:val="00D30763"/>
    <w:pPr>
      <w:widowControl w:val="0"/>
      <w:spacing w:line="323" w:lineRule="atLeast"/>
    </w:pPr>
    <w:rPr>
      <w:rFonts w:ascii="TTE189F6F8t00" w:hAnsi="TTE189F6F8t00" w:cs="Mangal"/>
      <w:color w:val="auto"/>
      <w:lang w:bidi="hi-IN"/>
    </w:rPr>
  </w:style>
  <w:style w:type="paragraph" w:customStyle="1" w:styleId="CM34">
    <w:name w:val="CM34"/>
    <w:basedOn w:val="Default"/>
    <w:next w:val="Default"/>
    <w:rsid w:val="0061035D"/>
    <w:pPr>
      <w:widowControl w:val="0"/>
    </w:pPr>
    <w:rPr>
      <w:rFonts w:ascii="TTE189F6F8t00" w:hAnsi="TTE189F6F8t00" w:cs="Mangal"/>
      <w:color w:val="auto"/>
      <w:lang w:bidi="hi-IN"/>
    </w:rPr>
  </w:style>
  <w:style w:type="paragraph" w:customStyle="1" w:styleId="CM39">
    <w:name w:val="CM39"/>
    <w:basedOn w:val="Default"/>
    <w:next w:val="Default"/>
    <w:rsid w:val="00187585"/>
    <w:pPr>
      <w:widowControl w:val="0"/>
    </w:pPr>
    <w:rPr>
      <w:rFonts w:ascii="TTE189F6F8t00" w:hAnsi="TTE189F6F8t00" w:cs="Mangal"/>
      <w:color w:val="auto"/>
      <w:lang w:bidi="hi-IN"/>
    </w:rPr>
  </w:style>
  <w:style w:type="paragraph" w:customStyle="1" w:styleId="CM33">
    <w:name w:val="CM33"/>
    <w:basedOn w:val="Default"/>
    <w:next w:val="Default"/>
    <w:rsid w:val="00366F69"/>
    <w:pPr>
      <w:widowControl w:val="0"/>
    </w:pPr>
    <w:rPr>
      <w:rFonts w:ascii="TTE189F6F8t00" w:hAnsi="TTE189F6F8t00" w:cs="Mangal"/>
      <w:color w:val="auto"/>
      <w:lang w:bidi="hi-IN"/>
    </w:rPr>
  </w:style>
  <w:style w:type="paragraph" w:customStyle="1" w:styleId="CM4">
    <w:name w:val="CM4"/>
    <w:basedOn w:val="Default"/>
    <w:next w:val="Default"/>
    <w:rsid w:val="00366F69"/>
    <w:pPr>
      <w:widowControl w:val="0"/>
    </w:pPr>
    <w:rPr>
      <w:rFonts w:ascii="TTE189F6F8t00" w:hAnsi="TTE189F6F8t00" w:cs="Mangal"/>
      <w:color w:val="auto"/>
      <w:lang w:bidi="hi-IN"/>
    </w:rPr>
  </w:style>
  <w:style w:type="paragraph" w:customStyle="1" w:styleId="CM11">
    <w:name w:val="CM11"/>
    <w:basedOn w:val="Default"/>
    <w:next w:val="Default"/>
    <w:rsid w:val="00366F69"/>
    <w:pPr>
      <w:widowControl w:val="0"/>
      <w:spacing w:line="323" w:lineRule="atLeast"/>
    </w:pPr>
    <w:rPr>
      <w:rFonts w:ascii="TTE189F6F8t00" w:hAnsi="TTE189F6F8t00" w:cs="Mangal"/>
      <w:color w:val="auto"/>
      <w:lang w:bidi="hi-IN"/>
    </w:rPr>
  </w:style>
  <w:style w:type="paragraph" w:customStyle="1" w:styleId="CM42">
    <w:name w:val="CM42"/>
    <w:basedOn w:val="Default"/>
    <w:next w:val="Default"/>
    <w:rsid w:val="00366F69"/>
    <w:pPr>
      <w:widowControl w:val="0"/>
    </w:pPr>
    <w:rPr>
      <w:rFonts w:ascii="TTE189F6F8t00" w:hAnsi="TTE189F6F8t00" w:cs="Mangal"/>
      <w:color w:val="auto"/>
      <w:lang w:bidi="hi-IN"/>
    </w:rPr>
  </w:style>
  <w:style w:type="paragraph" w:customStyle="1" w:styleId="CM37">
    <w:name w:val="CM37"/>
    <w:basedOn w:val="Default"/>
    <w:next w:val="Default"/>
    <w:rsid w:val="00366F69"/>
    <w:pPr>
      <w:widowControl w:val="0"/>
    </w:pPr>
    <w:rPr>
      <w:rFonts w:ascii="TTE189F6F8t00" w:hAnsi="TTE189F6F8t00" w:cs="Mangal"/>
      <w:color w:val="auto"/>
      <w:lang w:bidi="hi-IN"/>
    </w:rPr>
  </w:style>
  <w:style w:type="paragraph" w:customStyle="1" w:styleId="CM3">
    <w:name w:val="CM3"/>
    <w:basedOn w:val="Default"/>
    <w:next w:val="Default"/>
    <w:rsid w:val="00366F69"/>
    <w:pPr>
      <w:widowControl w:val="0"/>
      <w:spacing w:line="380" w:lineRule="atLeast"/>
    </w:pPr>
    <w:rPr>
      <w:rFonts w:ascii="TTE189F6F8t00" w:hAnsi="TTE189F6F8t00" w:cs="Mangal"/>
      <w:color w:val="auto"/>
      <w:lang w:bidi="hi-IN"/>
    </w:rPr>
  </w:style>
  <w:style w:type="paragraph" w:customStyle="1" w:styleId="CM44">
    <w:name w:val="CM44"/>
    <w:basedOn w:val="Default"/>
    <w:next w:val="Default"/>
    <w:rsid w:val="00366F69"/>
    <w:pPr>
      <w:widowControl w:val="0"/>
    </w:pPr>
    <w:rPr>
      <w:rFonts w:ascii="TTE189F6F8t00" w:hAnsi="TTE189F6F8t00" w:cs="Mangal"/>
      <w:color w:val="auto"/>
      <w:lang w:bidi="hi-IN"/>
    </w:rPr>
  </w:style>
  <w:style w:type="paragraph" w:customStyle="1" w:styleId="CM12">
    <w:name w:val="CM12"/>
    <w:basedOn w:val="Default"/>
    <w:next w:val="Default"/>
    <w:rsid w:val="00366F69"/>
    <w:pPr>
      <w:widowControl w:val="0"/>
    </w:pPr>
    <w:rPr>
      <w:rFonts w:ascii="TTE189F6F8t00" w:hAnsi="TTE189F6F8t00" w:cs="Mangal"/>
      <w:color w:val="auto"/>
      <w:lang w:bidi="hi-IN"/>
    </w:rPr>
  </w:style>
  <w:style w:type="paragraph" w:customStyle="1" w:styleId="CM1">
    <w:name w:val="CM1"/>
    <w:basedOn w:val="Default"/>
    <w:next w:val="Default"/>
    <w:rsid w:val="00366F69"/>
    <w:pPr>
      <w:widowControl w:val="0"/>
      <w:spacing w:line="316" w:lineRule="atLeast"/>
    </w:pPr>
    <w:rPr>
      <w:rFonts w:ascii="TTE189F6F8t00" w:hAnsi="TTE189F6F8t00" w:cs="Mangal"/>
      <w:color w:val="auto"/>
      <w:lang w:bidi="hi-IN"/>
    </w:rPr>
  </w:style>
  <w:style w:type="paragraph" w:customStyle="1" w:styleId="CM36">
    <w:name w:val="CM36"/>
    <w:basedOn w:val="Default"/>
    <w:next w:val="Default"/>
    <w:rsid w:val="00366F69"/>
    <w:pPr>
      <w:widowControl w:val="0"/>
    </w:pPr>
    <w:rPr>
      <w:rFonts w:ascii="TTE189F6F8t00" w:hAnsi="TTE189F6F8t00" w:cs="Mangal"/>
      <w:color w:val="auto"/>
      <w:lang w:bidi="hi-IN"/>
    </w:rPr>
  </w:style>
  <w:style w:type="paragraph" w:customStyle="1" w:styleId="CM2">
    <w:name w:val="CM2"/>
    <w:basedOn w:val="Default"/>
    <w:next w:val="Default"/>
    <w:rsid w:val="00366F69"/>
    <w:pPr>
      <w:widowControl w:val="0"/>
      <w:spacing w:line="320" w:lineRule="atLeast"/>
    </w:pPr>
    <w:rPr>
      <w:rFonts w:ascii="TTE189F6F8t00" w:hAnsi="TTE189F6F8t00" w:cs="Mangal"/>
      <w:color w:val="auto"/>
      <w:lang w:bidi="hi-IN"/>
    </w:rPr>
  </w:style>
  <w:style w:type="paragraph" w:customStyle="1" w:styleId="CM32">
    <w:name w:val="CM32"/>
    <w:basedOn w:val="Default"/>
    <w:next w:val="Default"/>
    <w:rsid w:val="00366F69"/>
    <w:pPr>
      <w:widowControl w:val="0"/>
    </w:pPr>
    <w:rPr>
      <w:rFonts w:ascii="TTE189F6F8t00" w:hAnsi="TTE189F6F8t00" w:cs="Mangal"/>
      <w:color w:val="auto"/>
      <w:lang w:bidi="hi-IN"/>
    </w:rPr>
  </w:style>
  <w:style w:type="paragraph" w:customStyle="1" w:styleId="CM45">
    <w:name w:val="CM45"/>
    <w:basedOn w:val="Default"/>
    <w:next w:val="Default"/>
    <w:rsid w:val="00366F69"/>
    <w:pPr>
      <w:widowControl w:val="0"/>
    </w:pPr>
    <w:rPr>
      <w:rFonts w:ascii="TTE189F6F8t00" w:hAnsi="TTE189F6F8t00" w:cs="Mangal"/>
      <w:color w:val="auto"/>
      <w:lang w:bidi="hi-IN"/>
    </w:rPr>
  </w:style>
  <w:style w:type="paragraph" w:customStyle="1" w:styleId="CM29">
    <w:name w:val="CM29"/>
    <w:basedOn w:val="Default"/>
    <w:next w:val="Default"/>
    <w:rsid w:val="00366F69"/>
    <w:pPr>
      <w:widowControl w:val="0"/>
      <w:spacing w:line="326" w:lineRule="atLeast"/>
    </w:pPr>
    <w:rPr>
      <w:rFonts w:ascii="TTE189F6F8t00" w:hAnsi="TTE189F6F8t00" w:cs="Mangal"/>
      <w:color w:val="auto"/>
      <w:lang w:bidi="hi-IN"/>
    </w:rPr>
  </w:style>
  <w:style w:type="paragraph" w:customStyle="1" w:styleId="CM9">
    <w:name w:val="CM9"/>
    <w:basedOn w:val="Default"/>
    <w:next w:val="Default"/>
    <w:rsid w:val="00366F69"/>
    <w:pPr>
      <w:widowControl w:val="0"/>
      <w:spacing w:line="323" w:lineRule="atLeast"/>
    </w:pPr>
    <w:rPr>
      <w:rFonts w:ascii="TTE189F6F8t00" w:hAnsi="TTE189F6F8t00" w:cs="Mangal"/>
      <w:color w:val="auto"/>
      <w:lang w:bidi="hi-IN"/>
    </w:rPr>
  </w:style>
  <w:style w:type="paragraph" w:customStyle="1" w:styleId="CM46">
    <w:name w:val="CM46"/>
    <w:basedOn w:val="Default"/>
    <w:next w:val="Default"/>
    <w:rsid w:val="00366F69"/>
    <w:pPr>
      <w:widowControl w:val="0"/>
    </w:pPr>
    <w:rPr>
      <w:rFonts w:ascii="TTE189F6F8t00" w:hAnsi="TTE189F6F8t00" w:cs="Mangal"/>
      <w:color w:val="auto"/>
      <w:lang w:bidi="hi-IN"/>
    </w:rPr>
  </w:style>
  <w:style w:type="table" w:styleId="TableColumns5">
    <w:name w:val="Table Columns 5"/>
    <w:basedOn w:val="TableNormal"/>
    <w:rsid w:val="00366F6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3">
    <w:name w:val="Table Columns 3"/>
    <w:basedOn w:val="TableNormal"/>
    <w:rsid w:val="00366F6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366F6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DocumentMap">
    <w:name w:val="Document Map"/>
    <w:basedOn w:val="Normal"/>
    <w:link w:val="DocumentMapChar"/>
    <w:rsid w:val="00366F69"/>
    <w:pPr>
      <w:shd w:val="clear" w:color="auto" w:fill="000080"/>
      <w:spacing w:line="240" w:lineRule="auto"/>
      <w:jc w:val="left"/>
    </w:pPr>
    <w:rPr>
      <w:rFonts w:ascii="Tahoma" w:hAnsi="Tahoma" w:cs="Tahoma"/>
      <w:lang w:val="en-US" w:bidi="gu-IN"/>
    </w:rPr>
  </w:style>
  <w:style w:type="character" w:customStyle="1" w:styleId="DocumentMapChar">
    <w:name w:val="Document Map Char"/>
    <w:basedOn w:val="DefaultParagraphFont"/>
    <w:link w:val="DocumentMap"/>
    <w:rsid w:val="00366F69"/>
    <w:rPr>
      <w:rFonts w:ascii="Tahoma" w:hAnsi="Tahoma" w:cs="Tahoma"/>
      <w:sz w:val="24"/>
      <w:szCs w:val="24"/>
      <w:shd w:val="clear" w:color="auto" w:fill="000080"/>
      <w:lang w:val="en-US" w:eastAsia="en-US" w:bidi="gu-IN"/>
    </w:rPr>
  </w:style>
  <w:style w:type="table" w:styleId="MediumGrid3-Accent6">
    <w:name w:val="Medium Grid 3 Accent 6"/>
    <w:basedOn w:val="TableNormal"/>
    <w:uiPriority w:val="69"/>
    <w:rsid w:val="002A1B9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character" w:styleId="Emphasis">
    <w:name w:val="Emphasis"/>
    <w:basedOn w:val="DefaultParagraphFont"/>
    <w:qFormat/>
    <w:rsid w:val="006F3344"/>
    <w:rPr>
      <w:i/>
      <w:iCs/>
    </w:rPr>
  </w:style>
  <w:style w:type="paragraph" w:styleId="PlainText">
    <w:name w:val="Plain Text"/>
    <w:basedOn w:val="Normal"/>
    <w:link w:val="PlainTextChar"/>
    <w:uiPriority w:val="99"/>
    <w:unhideWhenUsed/>
    <w:rsid w:val="001520C1"/>
    <w:pPr>
      <w:spacing w:line="240" w:lineRule="auto"/>
      <w:jc w:val="left"/>
    </w:pPr>
    <w:rPr>
      <w:rFonts w:ascii="Consolas" w:eastAsia="Calibri" w:hAnsi="Consolas"/>
      <w:sz w:val="21"/>
      <w:szCs w:val="21"/>
      <w:lang w:val="en-US"/>
    </w:rPr>
  </w:style>
  <w:style w:type="character" w:customStyle="1" w:styleId="PlainTextChar">
    <w:name w:val="Plain Text Char"/>
    <w:basedOn w:val="DefaultParagraphFont"/>
    <w:link w:val="PlainText"/>
    <w:uiPriority w:val="99"/>
    <w:rsid w:val="001520C1"/>
    <w:rPr>
      <w:rFonts w:ascii="Consolas" w:eastAsia="Calibri" w:hAnsi="Consolas"/>
      <w:sz w:val="21"/>
      <w:szCs w:val="21"/>
    </w:rPr>
  </w:style>
  <w:style w:type="paragraph" w:customStyle="1" w:styleId="Level11">
    <w:name w:val="Level 1.1"/>
    <w:aliases w:val="Reports"/>
    <w:basedOn w:val="Normal"/>
    <w:rsid w:val="00E21580"/>
    <w:pPr>
      <w:keepNext/>
      <w:keepLines/>
      <w:tabs>
        <w:tab w:val="left" w:pos="1440"/>
        <w:tab w:val="left" w:pos="2304"/>
      </w:tabs>
      <w:spacing w:after="288"/>
    </w:pPr>
    <w:rPr>
      <w:rFonts w:ascii="Tahoma" w:hAnsi="Tahoma"/>
      <w:kern w:val="28"/>
      <w:szCs w:val="20"/>
    </w:rPr>
  </w:style>
  <w:style w:type="table" w:customStyle="1" w:styleId="TableGrid1">
    <w:name w:val="Table Grid1"/>
    <w:basedOn w:val="TableNormal"/>
    <w:next w:val="TableGrid"/>
    <w:uiPriority w:val="59"/>
    <w:rsid w:val="005E1125"/>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Text">
    <w:name w:val="TableText"/>
    <w:qFormat/>
    <w:rsid w:val="0066014C"/>
    <w:pPr>
      <w:spacing w:line="276" w:lineRule="auto"/>
      <w:jc w:val="center"/>
    </w:pPr>
    <w:rPr>
      <w:rFonts w:asciiTheme="minorHAnsi" w:eastAsiaTheme="minorHAnsi" w:hAnsiTheme="minorHAnsi" w:cstheme="minorBidi"/>
      <w:szCs w:val="22"/>
    </w:rPr>
  </w:style>
  <w:style w:type="table" w:customStyle="1" w:styleId="LightGrid-Accent11">
    <w:name w:val="Light Grid - Accent 11"/>
    <w:basedOn w:val="TableNormal"/>
    <w:uiPriority w:val="62"/>
    <w:rsid w:val="0066014C"/>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Subtitle">
    <w:name w:val="Subtitle"/>
    <w:basedOn w:val="Normal"/>
    <w:next w:val="Normal"/>
    <w:link w:val="SubtitleChar"/>
    <w:uiPriority w:val="11"/>
    <w:qFormat/>
    <w:rsid w:val="00FB3380"/>
    <w:pPr>
      <w:numPr>
        <w:ilvl w:val="1"/>
      </w:numPr>
      <w:spacing w:after="200"/>
      <w:jc w:val="left"/>
    </w:pPr>
    <w:rPr>
      <w:rFonts w:asciiTheme="majorHAnsi" w:eastAsiaTheme="majorEastAsia" w:hAnsiTheme="majorHAnsi" w:cstheme="majorBidi"/>
      <w:i/>
      <w:iCs/>
      <w:color w:val="4F81BD" w:themeColor="accent1"/>
      <w:spacing w:val="15"/>
      <w:lang w:val="en-US"/>
    </w:rPr>
  </w:style>
  <w:style w:type="character" w:customStyle="1" w:styleId="SubtitleChar">
    <w:name w:val="Subtitle Char"/>
    <w:basedOn w:val="DefaultParagraphFont"/>
    <w:link w:val="Subtitle"/>
    <w:uiPriority w:val="11"/>
    <w:rsid w:val="00FB3380"/>
    <w:rPr>
      <w:rFonts w:asciiTheme="majorHAnsi" w:eastAsiaTheme="majorEastAsia" w:hAnsiTheme="majorHAnsi" w:cstheme="majorBidi"/>
      <w:i/>
      <w:iCs/>
      <w:color w:val="4F81BD" w:themeColor="accent1"/>
      <w:spacing w:val="15"/>
      <w:sz w:val="24"/>
      <w:szCs w:val="24"/>
    </w:rPr>
  </w:style>
  <w:style w:type="paragraph" w:styleId="NoSpacing">
    <w:name w:val="No Spacing"/>
    <w:link w:val="NoSpacingChar"/>
    <w:uiPriority w:val="1"/>
    <w:qFormat/>
    <w:rsid w:val="00164907"/>
    <w:rPr>
      <w:rFonts w:asciiTheme="minorHAnsi" w:eastAsiaTheme="minorHAnsi" w:hAnsiTheme="minorHAnsi" w:cstheme="minorBidi"/>
      <w:sz w:val="22"/>
      <w:szCs w:val="22"/>
      <w:lang w:val="en-GB"/>
    </w:rPr>
  </w:style>
  <w:style w:type="character" w:customStyle="1" w:styleId="NoSpacingChar">
    <w:name w:val="No Spacing Char"/>
    <w:basedOn w:val="DefaultParagraphFont"/>
    <w:link w:val="NoSpacing"/>
    <w:uiPriority w:val="1"/>
    <w:rsid w:val="00164907"/>
    <w:rPr>
      <w:rFonts w:asciiTheme="minorHAnsi" w:eastAsiaTheme="minorHAnsi" w:hAnsiTheme="minorHAnsi" w:cstheme="minorBidi"/>
      <w:sz w:val="22"/>
      <w:szCs w:val="22"/>
      <w:lang w:val="en-GB"/>
    </w:rPr>
  </w:style>
  <w:style w:type="paragraph" w:styleId="FootnoteText">
    <w:name w:val="footnote text"/>
    <w:basedOn w:val="Normal"/>
    <w:link w:val="FootnoteTextChar"/>
    <w:uiPriority w:val="99"/>
    <w:unhideWhenUsed/>
    <w:rsid w:val="00284820"/>
    <w:pPr>
      <w:spacing w:line="240" w:lineRule="auto"/>
      <w:ind w:left="1440" w:hanging="360"/>
    </w:pPr>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rsid w:val="00284820"/>
    <w:rPr>
      <w:rFonts w:asciiTheme="minorHAnsi" w:eastAsiaTheme="minorHAnsi" w:hAnsiTheme="minorHAnsi" w:cstheme="minorBidi"/>
    </w:rPr>
  </w:style>
  <w:style w:type="character" w:styleId="FootnoteReference">
    <w:name w:val="footnote reference"/>
    <w:basedOn w:val="DefaultParagraphFont"/>
    <w:uiPriority w:val="99"/>
    <w:unhideWhenUsed/>
    <w:rsid w:val="00284820"/>
    <w:rPr>
      <w:vertAlign w:val="superscript"/>
    </w:rPr>
  </w:style>
  <w:style w:type="character" w:styleId="FollowedHyperlink">
    <w:name w:val="FollowedHyperlink"/>
    <w:basedOn w:val="DefaultParagraphFont"/>
    <w:uiPriority w:val="99"/>
    <w:rsid w:val="00284820"/>
    <w:rPr>
      <w:color w:val="800080" w:themeColor="followedHyperlink"/>
      <w:u w:val="single"/>
    </w:rPr>
  </w:style>
  <w:style w:type="character" w:customStyle="1" w:styleId="apple-converted-space">
    <w:name w:val="apple-converted-space"/>
    <w:basedOn w:val="DefaultParagraphFont"/>
    <w:rsid w:val="00B8028C"/>
  </w:style>
  <w:style w:type="paragraph" w:customStyle="1" w:styleId="StyleLeft038">
    <w:name w:val="Style Left:  0.38&quot;"/>
    <w:basedOn w:val="Normal"/>
    <w:rsid w:val="00DB00A1"/>
    <w:pPr>
      <w:spacing w:before="60" w:after="60"/>
      <w:ind w:left="720"/>
    </w:pPr>
    <w:rPr>
      <w:szCs w:val="20"/>
    </w:rPr>
  </w:style>
  <w:style w:type="paragraph" w:styleId="TOCHeading">
    <w:name w:val="TOC Heading"/>
    <w:basedOn w:val="Heading1"/>
    <w:next w:val="Normal"/>
    <w:uiPriority w:val="39"/>
    <w:semiHidden/>
    <w:unhideWhenUsed/>
    <w:qFormat/>
    <w:rsid w:val="008E6E87"/>
    <w:pPr>
      <w:keepLines/>
      <w:numPr>
        <w:numId w:val="0"/>
      </w:numPr>
      <w:shd w:val="clear" w:color="auto" w:fill="auto"/>
      <w:spacing w:before="480" w:after="0" w:line="276" w:lineRule="auto"/>
      <w:jc w:val="left"/>
      <w:outlineLvl w:val="9"/>
    </w:pPr>
    <w:rPr>
      <w:rFonts w:asciiTheme="majorHAnsi" w:eastAsiaTheme="majorEastAsia" w:hAnsiTheme="majorHAnsi" w:cstheme="majorBidi"/>
      <w:caps w:val="0"/>
      <w:color w:val="365F91" w:themeColor="accent1" w:themeShade="BF"/>
      <w:kern w:val="0"/>
      <w:sz w:val="28"/>
      <w:szCs w:val="28"/>
      <w:lang w:val="en-US"/>
    </w:rPr>
  </w:style>
</w:styles>
</file>

<file path=word/webSettings.xml><?xml version="1.0" encoding="utf-8"?>
<w:webSettings xmlns:r="http://schemas.openxmlformats.org/officeDocument/2006/relationships" xmlns:w="http://schemas.openxmlformats.org/wordprocessingml/2006/main">
  <w:divs>
    <w:div w:id="14040777">
      <w:bodyDiv w:val="1"/>
      <w:marLeft w:val="0"/>
      <w:marRight w:val="0"/>
      <w:marTop w:val="0"/>
      <w:marBottom w:val="0"/>
      <w:divBdr>
        <w:top w:val="none" w:sz="0" w:space="0" w:color="auto"/>
        <w:left w:val="none" w:sz="0" w:space="0" w:color="auto"/>
        <w:bottom w:val="none" w:sz="0" w:space="0" w:color="auto"/>
        <w:right w:val="none" w:sz="0" w:space="0" w:color="auto"/>
      </w:divBdr>
    </w:div>
    <w:div w:id="15233312">
      <w:bodyDiv w:val="1"/>
      <w:marLeft w:val="0"/>
      <w:marRight w:val="0"/>
      <w:marTop w:val="0"/>
      <w:marBottom w:val="0"/>
      <w:divBdr>
        <w:top w:val="none" w:sz="0" w:space="0" w:color="auto"/>
        <w:left w:val="none" w:sz="0" w:space="0" w:color="auto"/>
        <w:bottom w:val="none" w:sz="0" w:space="0" w:color="auto"/>
        <w:right w:val="none" w:sz="0" w:space="0" w:color="auto"/>
      </w:divBdr>
    </w:div>
    <w:div w:id="15888355">
      <w:bodyDiv w:val="1"/>
      <w:marLeft w:val="0"/>
      <w:marRight w:val="0"/>
      <w:marTop w:val="0"/>
      <w:marBottom w:val="0"/>
      <w:divBdr>
        <w:top w:val="none" w:sz="0" w:space="0" w:color="auto"/>
        <w:left w:val="none" w:sz="0" w:space="0" w:color="auto"/>
        <w:bottom w:val="none" w:sz="0" w:space="0" w:color="auto"/>
        <w:right w:val="none" w:sz="0" w:space="0" w:color="auto"/>
      </w:divBdr>
    </w:div>
    <w:div w:id="21976917">
      <w:bodyDiv w:val="1"/>
      <w:marLeft w:val="0"/>
      <w:marRight w:val="0"/>
      <w:marTop w:val="0"/>
      <w:marBottom w:val="0"/>
      <w:divBdr>
        <w:top w:val="none" w:sz="0" w:space="0" w:color="auto"/>
        <w:left w:val="none" w:sz="0" w:space="0" w:color="auto"/>
        <w:bottom w:val="none" w:sz="0" w:space="0" w:color="auto"/>
        <w:right w:val="none" w:sz="0" w:space="0" w:color="auto"/>
      </w:divBdr>
    </w:div>
    <w:div w:id="25179788">
      <w:bodyDiv w:val="1"/>
      <w:marLeft w:val="0"/>
      <w:marRight w:val="0"/>
      <w:marTop w:val="0"/>
      <w:marBottom w:val="0"/>
      <w:divBdr>
        <w:top w:val="none" w:sz="0" w:space="0" w:color="auto"/>
        <w:left w:val="none" w:sz="0" w:space="0" w:color="auto"/>
        <w:bottom w:val="none" w:sz="0" w:space="0" w:color="auto"/>
        <w:right w:val="none" w:sz="0" w:space="0" w:color="auto"/>
      </w:divBdr>
    </w:div>
    <w:div w:id="25912718">
      <w:bodyDiv w:val="1"/>
      <w:marLeft w:val="0"/>
      <w:marRight w:val="0"/>
      <w:marTop w:val="0"/>
      <w:marBottom w:val="0"/>
      <w:divBdr>
        <w:top w:val="none" w:sz="0" w:space="0" w:color="auto"/>
        <w:left w:val="none" w:sz="0" w:space="0" w:color="auto"/>
        <w:bottom w:val="none" w:sz="0" w:space="0" w:color="auto"/>
        <w:right w:val="none" w:sz="0" w:space="0" w:color="auto"/>
      </w:divBdr>
    </w:div>
    <w:div w:id="40833702">
      <w:bodyDiv w:val="1"/>
      <w:marLeft w:val="0"/>
      <w:marRight w:val="0"/>
      <w:marTop w:val="0"/>
      <w:marBottom w:val="0"/>
      <w:divBdr>
        <w:top w:val="none" w:sz="0" w:space="0" w:color="auto"/>
        <w:left w:val="none" w:sz="0" w:space="0" w:color="auto"/>
        <w:bottom w:val="none" w:sz="0" w:space="0" w:color="auto"/>
        <w:right w:val="none" w:sz="0" w:space="0" w:color="auto"/>
      </w:divBdr>
    </w:div>
    <w:div w:id="51662696">
      <w:bodyDiv w:val="1"/>
      <w:marLeft w:val="0"/>
      <w:marRight w:val="0"/>
      <w:marTop w:val="0"/>
      <w:marBottom w:val="0"/>
      <w:divBdr>
        <w:top w:val="none" w:sz="0" w:space="0" w:color="auto"/>
        <w:left w:val="none" w:sz="0" w:space="0" w:color="auto"/>
        <w:bottom w:val="none" w:sz="0" w:space="0" w:color="auto"/>
        <w:right w:val="none" w:sz="0" w:space="0" w:color="auto"/>
      </w:divBdr>
    </w:div>
    <w:div w:id="62145234">
      <w:bodyDiv w:val="1"/>
      <w:marLeft w:val="0"/>
      <w:marRight w:val="0"/>
      <w:marTop w:val="0"/>
      <w:marBottom w:val="0"/>
      <w:divBdr>
        <w:top w:val="none" w:sz="0" w:space="0" w:color="auto"/>
        <w:left w:val="none" w:sz="0" w:space="0" w:color="auto"/>
        <w:bottom w:val="none" w:sz="0" w:space="0" w:color="auto"/>
        <w:right w:val="none" w:sz="0" w:space="0" w:color="auto"/>
      </w:divBdr>
    </w:div>
    <w:div w:id="64300192">
      <w:bodyDiv w:val="1"/>
      <w:marLeft w:val="0"/>
      <w:marRight w:val="0"/>
      <w:marTop w:val="0"/>
      <w:marBottom w:val="0"/>
      <w:divBdr>
        <w:top w:val="none" w:sz="0" w:space="0" w:color="auto"/>
        <w:left w:val="none" w:sz="0" w:space="0" w:color="auto"/>
        <w:bottom w:val="none" w:sz="0" w:space="0" w:color="auto"/>
        <w:right w:val="none" w:sz="0" w:space="0" w:color="auto"/>
      </w:divBdr>
    </w:div>
    <w:div w:id="66878656">
      <w:bodyDiv w:val="1"/>
      <w:marLeft w:val="0"/>
      <w:marRight w:val="0"/>
      <w:marTop w:val="0"/>
      <w:marBottom w:val="0"/>
      <w:divBdr>
        <w:top w:val="none" w:sz="0" w:space="0" w:color="auto"/>
        <w:left w:val="none" w:sz="0" w:space="0" w:color="auto"/>
        <w:bottom w:val="none" w:sz="0" w:space="0" w:color="auto"/>
        <w:right w:val="none" w:sz="0" w:space="0" w:color="auto"/>
      </w:divBdr>
    </w:div>
    <w:div w:id="73206793">
      <w:bodyDiv w:val="1"/>
      <w:marLeft w:val="0"/>
      <w:marRight w:val="0"/>
      <w:marTop w:val="0"/>
      <w:marBottom w:val="0"/>
      <w:divBdr>
        <w:top w:val="none" w:sz="0" w:space="0" w:color="auto"/>
        <w:left w:val="none" w:sz="0" w:space="0" w:color="auto"/>
        <w:bottom w:val="none" w:sz="0" w:space="0" w:color="auto"/>
        <w:right w:val="none" w:sz="0" w:space="0" w:color="auto"/>
      </w:divBdr>
    </w:div>
    <w:div w:id="78454893">
      <w:bodyDiv w:val="1"/>
      <w:marLeft w:val="0"/>
      <w:marRight w:val="0"/>
      <w:marTop w:val="0"/>
      <w:marBottom w:val="0"/>
      <w:divBdr>
        <w:top w:val="none" w:sz="0" w:space="0" w:color="auto"/>
        <w:left w:val="none" w:sz="0" w:space="0" w:color="auto"/>
        <w:bottom w:val="none" w:sz="0" w:space="0" w:color="auto"/>
        <w:right w:val="none" w:sz="0" w:space="0" w:color="auto"/>
      </w:divBdr>
    </w:div>
    <w:div w:id="85080894">
      <w:bodyDiv w:val="1"/>
      <w:marLeft w:val="0"/>
      <w:marRight w:val="0"/>
      <w:marTop w:val="0"/>
      <w:marBottom w:val="0"/>
      <w:divBdr>
        <w:top w:val="none" w:sz="0" w:space="0" w:color="auto"/>
        <w:left w:val="none" w:sz="0" w:space="0" w:color="auto"/>
        <w:bottom w:val="none" w:sz="0" w:space="0" w:color="auto"/>
        <w:right w:val="none" w:sz="0" w:space="0" w:color="auto"/>
      </w:divBdr>
    </w:div>
    <w:div w:id="87775987">
      <w:bodyDiv w:val="1"/>
      <w:marLeft w:val="0"/>
      <w:marRight w:val="0"/>
      <w:marTop w:val="0"/>
      <w:marBottom w:val="0"/>
      <w:divBdr>
        <w:top w:val="none" w:sz="0" w:space="0" w:color="auto"/>
        <w:left w:val="none" w:sz="0" w:space="0" w:color="auto"/>
        <w:bottom w:val="none" w:sz="0" w:space="0" w:color="auto"/>
        <w:right w:val="none" w:sz="0" w:space="0" w:color="auto"/>
      </w:divBdr>
    </w:div>
    <w:div w:id="88166571">
      <w:bodyDiv w:val="1"/>
      <w:marLeft w:val="0"/>
      <w:marRight w:val="0"/>
      <w:marTop w:val="0"/>
      <w:marBottom w:val="0"/>
      <w:divBdr>
        <w:top w:val="none" w:sz="0" w:space="0" w:color="auto"/>
        <w:left w:val="none" w:sz="0" w:space="0" w:color="auto"/>
        <w:bottom w:val="none" w:sz="0" w:space="0" w:color="auto"/>
        <w:right w:val="none" w:sz="0" w:space="0" w:color="auto"/>
      </w:divBdr>
    </w:div>
    <w:div w:id="91165882">
      <w:bodyDiv w:val="1"/>
      <w:marLeft w:val="0"/>
      <w:marRight w:val="0"/>
      <w:marTop w:val="0"/>
      <w:marBottom w:val="0"/>
      <w:divBdr>
        <w:top w:val="none" w:sz="0" w:space="0" w:color="auto"/>
        <w:left w:val="none" w:sz="0" w:space="0" w:color="auto"/>
        <w:bottom w:val="none" w:sz="0" w:space="0" w:color="auto"/>
        <w:right w:val="none" w:sz="0" w:space="0" w:color="auto"/>
      </w:divBdr>
    </w:div>
    <w:div w:id="91168578">
      <w:bodyDiv w:val="1"/>
      <w:marLeft w:val="0"/>
      <w:marRight w:val="0"/>
      <w:marTop w:val="0"/>
      <w:marBottom w:val="0"/>
      <w:divBdr>
        <w:top w:val="none" w:sz="0" w:space="0" w:color="auto"/>
        <w:left w:val="none" w:sz="0" w:space="0" w:color="auto"/>
        <w:bottom w:val="none" w:sz="0" w:space="0" w:color="auto"/>
        <w:right w:val="none" w:sz="0" w:space="0" w:color="auto"/>
      </w:divBdr>
    </w:div>
    <w:div w:id="92212662">
      <w:bodyDiv w:val="1"/>
      <w:marLeft w:val="0"/>
      <w:marRight w:val="0"/>
      <w:marTop w:val="0"/>
      <w:marBottom w:val="0"/>
      <w:divBdr>
        <w:top w:val="none" w:sz="0" w:space="0" w:color="auto"/>
        <w:left w:val="none" w:sz="0" w:space="0" w:color="auto"/>
        <w:bottom w:val="none" w:sz="0" w:space="0" w:color="auto"/>
        <w:right w:val="none" w:sz="0" w:space="0" w:color="auto"/>
      </w:divBdr>
    </w:div>
    <w:div w:id="94597689">
      <w:bodyDiv w:val="1"/>
      <w:marLeft w:val="0"/>
      <w:marRight w:val="0"/>
      <w:marTop w:val="0"/>
      <w:marBottom w:val="0"/>
      <w:divBdr>
        <w:top w:val="none" w:sz="0" w:space="0" w:color="auto"/>
        <w:left w:val="none" w:sz="0" w:space="0" w:color="auto"/>
        <w:bottom w:val="none" w:sz="0" w:space="0" w:color="auto"/>
        <w:right w:val="none" w:sz="0" w:space="0" w:color="auto"/>
      </w:divBdr>
    </w:div>
    <w:div w:id="103380502">
      <w:bodyDiv w:val="1"/>
      <w:marLeft w:val="0"/>
      <w:marRight w:val="0"/>
      <w:marTop w:val="0"/>
      <w:marBottom w:val="0"/>
      <w:divBdr>
        <w:top w:val="none" w:sz="0" w:space="0" w:color="auto"/>
        <w:left w:val="none" w:sz="0" w:space="0" w:color="auto"/>
        <w:bottom w:val="none" w:sz="0" w:space="0" w:color="auto"/>
        <w:right w:val="none" w:sz="0" w:space="0" w:color="auto"/>
      </w:divBdr>
    </w:div>
    <w:div w:id="115946966">
      <w:bodyDiv w:val="1"/>
      <w:marLeft w:val="0"/>
      <w:marRight w:val="0"/>
      <w:marTop w:val="0"/>
      <w:marBottom w:val="0"/>
      <w:divBdr>
        <w:top w:val="none" w:sz="0" w:space="0" w:color="auto"/>
        <w:left w:val="none" w:sz="0" w:space="0" w:color="auto"/>
        <w:bottom w:val="none" w:sz="0" w:space="0" w:color="auto"/>
        <w:right w:val="none" w:sz="0" w:space="0" w:color="auto"/>
      </w:divBdr>
    </w:div>
    <w:div w:id="122575392">
      <w:bodyDiv w:val="1"/>
      <w:marLeft w:val="0"/>
      <w:marRight w:val="0"/>
      <w:marTop w:val="0"/>
      <w:marBottom w:val="0"/>
      <w:divBdr>
        <w:top w:val="none" w:sz="0" w:space="0" w:color="auto"/>
        <w:left w:val="none" w:sz="0" w:space="0" w:color="auto"/>
        <w:bottom w:val="none" w:sz="0" w:space="0" w:color="auto"/>
        <w:right w:val="none" w:sz="0" w:space="0" w:color="auto"/>
      </w:divBdr>
    </w:div>
    <w:div w:id="132217506">
      <w:bodyDiv w:val="1"/>
      <w:marLeft w:val="0"/>
      <w:marRight w:val="0"/>
      <w:marTop w:val="0"/>
      <w:marBottom w:val="0"/>
      <w:divBdr>
        <w:top w:val="none" w:sz="0" w:space="0" w:color="auto"/>
        <w:left w:val="none" w:sz="0" w:space="0" w:color="auto"/>
        <w:bottom w:val="none" w:sz="0" w:space="0" w:color="auto"/>
        <w:right w:val="none" w:sz="0" w:space="0" w:color="auto"/>
      </w:divBdr>
    </w:div>
    <w:div w:id="148448234">
      <w:bodyDiv w:val="1"/>
      <w:marLeft w:val="0"/>
      <w:marRight w:val="0"/>
      <w:marTop w:val="0"/>
      <w:marBottom w:val="0"/>
      <w:divBdr>
        <w:top w:val="none" w:sz="0" w:space="0" w:color="auto"/>
        <w:left w:val="none" w:sz="0" w:space="0" w:color="auto"/>
        <w:bottom w:val="none" w:sz="0" w:space="0" w:color="auto"/>
        <w:right w:val="none" w:sz="0" w:space="0" w:color="auto"/>
      </w:divBdr>
    </w:div>
    <w:div w:id="151944413">
      <w:bodyDiv w:val="1"/>
      <w:marLeft w:val="0"/>
      <w:marRight w:val="0"/>
      <w:marTop w:val="0"/>
      <w:marBottom w:val="0"/>
      <w:divBdr>
        <w:top w:val="none" w:sz="0" w:space="0" w:color="auto"/>
        <w:left w:val="none" w:sz="0" w:space="0" w:color="auto"/>
        <w:bottom w:val="none" w:sz="0" w:space="0" w:color="auto"/>
        <w:right w:val="none" w:sz="0" w:space="0" w:color="auto"/>
      </w:divBdr>
    </w:div>
    <w:div w:id="154077252">
      <w:bodyDiv w:val="1"/>
      <w:marLeft w:val="0"/>
      <w:marRight w:val="0"/>
      <w:marTop w:val="0"/>
      <w:marBottom w:val="0"/>
      <w:divBdr>
        <w:top w:val="none" w:sz="0" w:space="0" w:color="auto"/>
        <w:left w:val="none" w:sz="0" w:space="0" w:color="auto"/>
        <w:bottom w:val="none" w:sz="0" w:space="0" w:color="auto"/>
        <w:right w:val="none" w:sz="0" w:space="0" w:color="auto"/>
      </w:divBdr>
    </w:div>
    <w:div w:id="158619093">
      <w:bodyDiv w:val="1"/>
      <w:marLeft w:val="0"/>
      <w:marRight w:val="0"/>
      <w:marTop w:val="0"/>
      <w:marBottom w:val="0"/>
      <w:divBdr>
        <w:top w:val="none" w:sz="0" w:space="0" w:color="auto"/>
        <w:left w:val="none" w:sz="0" w:space="0" w:color="auto"/>
        <w:bottom w:val="none" w:sz="0" w:space="0" w:color="auto"/>
        <w:right w:val="none" w:sz="0" w:space="0" w:color="auto"/>
      </w:divBdr>
    </w:div>
    <w:div w:id="168258907">
      <w:bodyDiv w:val="1"/>
      <w:marLeft w:val="0"/>
      <w:marRight w:val="0"/>
      <w:marTop w:val="0"/>
      <w:marBottom w:val="0"/>
      <w:divBdr>
        <w:top w:val="none" w:sz="0" w:space="0" w:color="auto"/>
        <w:left w:val="none" w:sz="0" w:space="0" w:color="auto"/>
        <w:bottom w:val="none" w:sz="0" w:space="0" w:color="auto"/>
        <w:right w:val="none" w:sz="0" w:space="0" w:color="auto"/>
      </w:divBdr>
    </w:div>
    <w:div w:id="169682752">
      <w:bodyDiv w:val="1"/>
      <w:marLeft w:val="0"/>
      <w:marRight w:val="0"/>
      <w:marTop w:val="0"/>
      <w:marBottom w:val="0"/>
      <w:divBdr>
        <w:top w:val="none" w:sz="0" w:space="0" w:color="auto"/>
        <w:left w:val="none" w:sz="0" w:space="0" w:color="auto"/>
        <w:bottom w:val="none" w:sz="0" w:space="0" w:color="auto"/>
        <w:right w:val="none" w:sz="0" w:space="0" w:color="auto"/>
      </w:divBdr>
    </w:div>
    <w:div w:id="177936075">
      <w:bodyDiv w:val="1"/>
      <w:marLeft w:val="0"/>
      <w:marRight w:val="0"/>
      <w:marTop w:val="0"/>
      <w:marBottom w:val="0"/>
      <w:divBdr>
        <w:top w:val="none" w:sz="0" w:space="0" w:color="auto"/>
        <w:left w:val="none" w:sz="0" w:space="0" w:color="auto"/>
        <w:bottom w:val="none" w:sz="0" w:space="0" w:color="auto"/>
        <w:right w:val="none" w:sz="0" w:space="0" w:color="auto"/>
      </w:divBdr>
    </w:div>
    <w:div w:id="178353422">
      <w:bodyDiv w:val="1"/>
      <w:marLeft w:val="0"/>
      <w:marRight w:val="0"/>
      <w:marTop w:val="0"/>
      <w:marBottom w:val="0"/>
      <w:divBdr>
        <w:top w:val="none" w:sz="0" w:space="0" w:color="auto"/>
        <w:left w:val="none" w:sz="0" w:space="0" w:color="auto"/>
        <w:bottom w:val="none" w:sz="0" w:space="0" w:color="auto"/>
        <w:right w:val="none" w:sz="0" w:space="0" w:color="auto"/>
      </w:divBdr>
    </w:div>
    <w:div w:id="180515150">
      <w:bodyDiv w:val="1"/>
      <w:marLeft w:val="0"/>
      <w:marRight w:val="0"/>
      <w:marTop w:val="0"/>
      <w:marBottom w:val="0"/>
      <w:divBdr>
        <w:top w:val="none" w:sz="0" w:space="0" w:color="auto"/>
        <w:left w:val="none" w:sz="0" w:space="0" w:color="auto"/>
        <w:bottom w:val="none" w:sz="0" w:space="0" w:color="auto"/>
        <w:right w:val="none" w:sz="0" w:space="0" w:color="auto"/>
      </w:divBdr>
    </w:div>
    <w:div w:id="188030396">
      <w:bodyDiv w:val="1"/>
      <w:marLeft w:val="0"/>
      <w:marRight w:val="0"/>
      <w:marTop w:val="0"/>
      <w:marBottom w:val="0"/>
      <w:divBdr>
        <w:top w:val="none" w:sz="0" w:space="0" w:color="auto"/>
        <w:left w:val="none" w:sz="0" w:space="0" w:color="auto"/>
        <w:bottom w:val="none" w:sz="0" w:space="0" w:color="auto"/>
        <w:right w:val="none" w:sz="0" w:space="0" w:color="auto"/>
      </w:divBdr>
    </w:div>
    <w:div w:id="196891170">
      <w:bodyDiv w:val="1"/>
      <w:marLeft w:val="0"/>
      <w:marRight w:val="0"/>
      <w:marTop w:val="0"/>
      <w:marBottom w:val="0"/>
      <w:divBdr>
        <w:top w:val="none" w:sz="0" w:space="0" w:color="auto"/>
        <w:left w:val="none" w:sz="0" w:space="0" w:color="auto"/>
        <w:bottom w:val="none" w:sz="0" w:space="0" w:color="auto"/>
        <w:right w:val="none" w:sz="0" w:space="0" w:color="auto"/>
      </w:divBdr>
    </w:div>
    <w:div w:id="212426939">
      <w:bodyDiv w:val="1"/>
      <w:marLeft w:val="0"/>
      <w:marRight w:val="0"/>
      <w:marTop w:val="0"/>
      <w:marBottom w:val="0"/>
      <w:divBdr>
        <w:top w:val="none" w:sz="0" w:space="0" w:color="auto"/>
        <w:left w:val="none" w:sz="0" w:space="0" w:color="auto"/>
        <w:bottom w:val="none" w:sz="0" w:space="0" w:color="auto"/>
        <w:right w:val="none" w:sz="0" w:space="0" w:color="auto"/>
      </w:divBdr>
    </w:div>
    <w:div w:id="214201555">
      <w:bodyDiv w:val="1"/>
      <w:marLeft w:val="0"/>
      <w:marRight w:val="0"/>
      <w:marTop w:val="0"/>
      <w:marBottom w:val="0"/>
      <w:divBdr>
        <w:top w:val="none" w:sz="0" w:space="0" w:color="auto"/>
        <w:left w:val="none" w:sz="0" w:space="0" w:color="auto"/>
        <w:bottom w:val="none" w:sz="0" w:space="0" w:color="auto"/>
        <w:right w:val="none" w:sz="0" w:space="0" w:color="auto"/>
      </w:divBdr>
    </w:div>
    <w:div w:id="234363369">
      <w:bodyDiv w:val="1"/>
      <w:marLeft w:val="0"/>
      <w:marRight w:val="0"/>
      <w:marTop w:val="0"/>
      <w:marBottom w:val="0"/>
      <w:divBdr>
        <w:top w:val="none" w:sz="0" w:space="0" w:color="auto"/>
        <w:left w:val="none" w:sz="0" w:space="0" w:color="auto"/>
        <w:bottom w:val="none" w:sz="0" w:space="0" w:color="auto"/>
        <w:right w:val="none" w:sz="0" w:space="0" w:color="auto"/>
      </w:divBdr>
    </w:div>
    <w:div w:id="246812810">
      <w:bodyDiv w:val="1"/>
      <w:marLeft w:val="0"/>
      <w:marRight w:val="0"/>
      <w:marTop w:val="0"/>
      <w:marBottom w:val="0"/>
      <w:divBdr>
        <w:top w:val="none" w:sz="0" w:space="0" w:color="auto"/>
        <w:left w:val="none" w:sz="0" w:space="0" w:color="auto"/>
        <w:bottom w:val="none" w:sz="0" w:space="0" w:color="auto"/>
        <w:right w:val="none" w:sz="0" w:space="0" w:color="auto"/>
      </w:divBdr>
    </w:div>
    <w:div w:id="252904935">
      <w:bodyDiv w:val="1"/>
      <w:marLeft w:val="0"/>
      <w:marRight w:val="0"/>
      <w:marTop w:val="0"/>
      <w:marBottom w:val="0"/>
      <w:divBdr>
        <w:top w:val="none" w:sz="0" w:space="0" w:color="auto"/>
        <w:left w:val="none" w:sz="0" w:space="0" w:color="auto"/>
        <w:bottom w:val="none" w:sz="0" w:space="0" w:color="auto"/>
        <w:right w:val="none" w:sz="0" w:space="0" w:color="auto"/>
      </w:divBdr>
    </w:div>
    <w:div w:id="266810769">
      <w:bodyDiv w:val="1"/>
      <w:marLeft w:val="0"/>
      <w:marRight w:val="0"/>
      <w:marTop w:val="0"/>
      <w:marBottom w:val="0"/>
      <w:divBdr>
        <w:top w:val="none" w:sz="0" w:space="0" w:color="auto"/>
        <w:left w:val="none" w:sz="0" w:space="0" w:color="auto"/>
        <w:bottom w:val="none" w:sz="0" w:space="0" w:color="auto"/>
        <w:right w:val="none" w:sz="0" w:space="0" w:color="auto"/>
      </w:divBdr>
    </w:div>
    <w:div w:id="287856649">
      <w:bodyDiv w:val="1"/>
      <w:marLeft w:val="0"/>
      <w:marRight w:val="0"/>
      <w:marTop w:val="0"/>
      <w:marBottom w:val="0"/>
      <w:divBdr>
        <w:top w:val="none" w:sz="0" w:space="0" w:color="auto"/>
        <w:left w:val="none" w:sz="0" w:space="0" w:color="auto"/>
        <w:bottom w:val="none" w:sz="0" w:space="0" w:color="auto"/>
        <w:right w:val="none" w:sz="0" w:space="0" w:color="auto"/>
      </w:divBdr>
    </w:div>
    <w:div w:id="294069783">
      <w:bodyDiv w:val="1"/>
      <w:marLeft w:val="0"/>
      <w:marRight w:val="0"/>
      <w:marTop w:val="0"/>
      <w:marBottom w:val="0"/>
      <w:divBdr>
        <w:top w:val="none" w:sz="0" w:space="0" w:color="auto"/>
        <w:left w:val="none" w:sz="0" w:space="0" w:color="auto"/>
        <w:bottom w:val="none" w:sz="0" w:space="0" w:color="auto"/>
        <w:right w:val="none" w:sz="0" w:space="0" w:color="auto"/>
      </w:divBdr>
    </w:div>
    <w:div w:id="311565583">
      <w:bodyDiv w:val="1"/>
      <w:marLeft w:val="0"/>
      <w:marRight w:val="0"/>
      <w:marTop w:val="0"/>
      <w:marBottom w:val="0"/>
      <w:divBdr>
        <w:top w:val="none" w:sz="0" w:space="0" w:color="auto"/>
        <w:left w:val="none" w:sz="0" w:space="0" w:color="auto"/>
        <w:bottom w:val="none" w:sz="0" w:space="0" w:color="auto"/>
        <w:right w:val="none" w:sz="0" w:space="0" w:color="auto"/>
      </w:divBdr>
    </w:div>
    <w:div w:id="314988487">
      <w:bodyDiv w:val="1"/>
      <w:marLeft w:val="0"/>
      <w:marRight w:val="0"/>
      <w:marTop w:val="0"/>
      <w:marBottom w:val="0"/>
      <w:divBdr>
        <w:top w:val="none" w:sz="0" w:space="0" w:color="auto"/>
        <w:left w:val="none" w:sz="0" w:space="0" w:color="auto"/>
        <w:bottom w:val="none" w:sz="0" w:space="0" w:color="auto"/>
        <w:right w:val="none" w:sz="0" w:space="0" w:color="auto"/>
      </w:divBdr>
    </w:div>
    <w:div w:id="316498889">
      <w:bodyDiv w:val="1"/>
      <w:marLeft w:val="0"/>
      <w:marRight w:val="0"/>
      <w:marTop w:val="0"/>
      <w:marBottom w:val="0"/>
      <w:divBdr>
        <w:top w:val="none" w:sz="0" w:space="0" w:color="auto"/>
        <w:left w:val="none" w:sz="0" w:space="0" w:color="auto"/>
        <w:bottom w:val="none" w:sz="0" w:space="0" w:color="auto"/>
        <w:right w:val="none" w:sz="0" w:space="0" w:color="auto"/>
      </w:divBdr>
    </w:div>
    <w:div w:id="334041542">
      <w:bodyDiv w:val="1"/>
      <w:marLeft w:val="0"/>
      <w:marRight w:val="0"/>
      <w:marTop w:val="0"/>
      <w:marBottom w:val="0"/>
      <w:divBdr>
        <w:top w:val="none" w:sz="0" w:space="0" w:color="auto"/>
        <w:left w:val="none" w:sz="0" w:space="0" w:color="auto"/>
        <w:bottom w:val="none" w:sz="0" w:space="0" w:color="auto"/>
        <w:right w:val="none" w:sz="0" w:space="0" w:color="auto"/>
      </w:divBdr>
    </w:div>
    <w:div w:id="334766944">
      <w:bodyDiv w:val="1"/>
      <w:marLeft w:val="0"/>
      <w:marRight w:val="0"/>
      <w:marTop w:val="0"/>
      <w:marBottom w:val="0"/>
      <w:divBdr>
        <w:top w:val="none" w:sz="0" w:space="0" w:color="auto"/>
        <w:left w:val="none" w:sz="0" w:space="0" w:color="auto"/>
        <w:bottom w:val="none" w:sz="0" w:space="0" w:color="auto"/>
        <w:right w:val="none" w:sz="0" w:space="0" w:color="auto"/>
      </w:divBdr>
    </w:div>
    <w:div w:id="338435304">
      <w:bodyDiv w:val="1"/>
      <w:marLeft w:val="0"/>
      <w:marRight w:val="0"/>
      <w:marTop w:val="0"/>
      <w:marBottom w:val="0"/>
      <w:divBdr>
        <w:top w:val="none" w:sz="0" w:space="0" w:color="auto"/>
        <w:left w:val="none" w:sz="0" w:space="0" w:color="auto"/>
        <w:bottom w:val="none" w:sz="0" w:space="0" w:color="auto"/>
        <w:right w:val="none" w:sz="0" w:space="0" w:color="auto"/>
      </w:divBdr>
    </w:div>
    <w:div w:id="350179984">
      <w:bodyDiv w:val="1"/>
      <w:marLeft w:val="0"/>
      <w:marRight w:val="0"/>
      <w:marTop w:val="0"/>
      <w:marBottom w:val="0"/>
      <w:divBdr>
        <w:top w:val="none" w:sz="0" w:space="0" w:color="auto"/>
        <w:left w:val="none" w:sz="0" w:space="0" w:color="auto"/>
        <w:bottom w:val="none" w:sz="0" w:space="0" w:color="auto"/>
        <w:right w:val="none" w:sz="0" w:space="0" w:color="auto"/>
      </w:divBdr>
    </w:div>
    <w:div w:id="354119866">
      <w:bodyDiv w:val="1"/>
      <w:marLeft w:val="0"/>
      <w:marRight w:val="0"/>
      <w:marTop w:val="0"/>
      <w:marBottom w:val="0"/>
      <w:divBdr>
        <w:top w:val="none" w:sz="0" w:space="0" w:color="auto"/>
        <w:left w:val="none" w:sz="0" w:space="0" w:color="auto"/>
        <w:bottom w:val="none" w:sz="0" w:space="0" w:color="auto"/>
        <w:right w:val="none" w:sz="0" w:space="0" w:color="auto"/>
      </w:divBdr>
    </w:div>
    <w:div w:id="366957273">
      <w:bodyDiv w:val="1"/>
      <w:marLeft w:val="0"/>
      <w:marRight w:val="0"/>
      <w:marTop w:val="0"/>
      <w:marBottom w:val="0"/>
      <w:divBdr>
        <w:top w:val="none" w:sz="0" w:space="0" w:color="auto"/>
        <w:left w:val="none" w:sz="0" w:space="0" w:color="auto"/>
        <w:bottom w:val="none" w:sz="0" w:space="0" w:color="auto"/>
        <w:right w:val="none" w:sz="0" w:space="0" w:color="auto"/>
      </w:divBdr>
    </w:div>
    <w:div w:id="380860043">
      <w:bodyDiv w:val="1"/>
      <w:marLeft w:val="0"/>
      <w:marRight w:val="0"/>
      <w:marTop w:val="0"/>
      <w:marBottom w:val="0"/>
      <w:divBdr>
        <w:top w:val="none" w:sz="0" w:space="0" w:color="auto"/>
        <w:left w:val="none" w:sz="0" w:space="0" w:color="auto"/>
        <w:bottom w:val="none" w:sz="0" w:space="0" w:color="auto"/>
        <w:right w:val="none" w:sz="0" w:space="0" w:color="auto"/>
      </w:divBdr>
    </w:div>
    <w:div w:id="404307396">
      <w:bodyDiv w:val="1"/>
      <w:marLeft w:val="0"/>
      <w:marRight w:val="0"/>
      <w:marTop w:val="0"/>
      <w:marBottom w:val="0"/>
      <w:divBdr>
        <w:top w:val="none" w:sz="0" w:space="0" w:color="auto"/>
        <w:left w:val="none" w:sz="0" w:space="0" w:color="auto"/>
        <w:bottom w:val="none" w:sz="0" w:space="0" w:color="auto"/>
        <w:right w:val="none" w:sz="0" w:space="0" w:color="auto"/>
      </w:divBdr>
    </w:div>
    <w:div w:id="424763007">
      <w:bodyDiv w:val="1"/>
      <w:marLeft w:val="0"/>
      <w:marRight w:val="0"/>
      <w:marTop w:val="0"/>
      <w:marBottom w:val="0"/>
      <w:divBdr>
        <w:top w:val="none" w:sz="0" w:space="0" w:color="auto"/>
        <w:left w:val="none" w:sz="0" w:space="0" w:color="auto"/>
        <w:bottom w:val="none" w:sz="0" w:space="0" w:color="auto"/>
        <w:right w:val="none" w:sz="0" w:space="0" w:color="auto"/>
      </w:divBdr>
    </w:div>
    <w:div w:id="425154877">
      <w:bodyDiv w:val="1"/>
      <w:marLeft w:val="0"/>
      <w:marRight w:val="0"/>
      <w:marTop w:val="0"/>
      <w:marBottom w:val="0"/>
      <w:divBdr>
        <w:top w:val="none" w:sz="0" w:space="0" w:color="auto"/>
        <w:left w:val="none" w:sz="0" w:space="0" w:color="auto"/>
        <w:bottom w:val="none" w:sz="0" w:space="0" w:color="auto"/>
        <w:right w:val="none" w:sz="0" w:space="0" w:color="auto"/>
      </w:divBdr>
    </w:div>
    <w:div w:id="432556070">
      <w:bodyDiv w:val="1"/>
      <w:marLeft w:val="0"/>
      <w:marRight w:val="0"/>
      <w:marTop w:val="0"/>
      <w:marBottom w:val="0"/>
      <w:divBdr>
        <w:top w:val="none" w:sz="0" w:space="0" w:color="auto"/>
        <w:left w:val="none" w:sz="0" w:space="0" w:color="auto"/>
        <w:bottom w:val="none" w:sz="0" w:space="0" w:color="auto"/>
        <w:right w:val="none" w:sz="0" w:space="0" w:color="auto"/>
      </w:divBdr>
    </w:div>
    <w:div w:id="441727384">
      <w:bodyDiv w:val="1"/>
      <w:marLeft w:val="0"/>
      <w:marRight w:val="0"/>
      <w:marTop w:val="0"/>
      <w:marBottom w:val="0"/>
      <w:divBdr>
        <w:top w:val="none" w:sz="0" w:space="0" w:color="auto"/>
        <w:left w:val="none" w:sz="0" w:space="0" w:color="auto"/>
        <w:bottom w:val="none" w:sz="0" w:space="0" w:color="auto"/>
        <w:right w:val="none" w:sz="0" w:space="0" w:color="auto"/>
      </w:divBdr>
    </w:div>
    <w:div w:id="446200449">
      <w:bodyDiv w:val="1"/>
      <w:marLeft w:val="0"/>
      <w:marRight w:val="0"/>
      <w:marTop w:val="0"/>
      <w:marBottom w:val="0"/>
      <w:divBdr>
        <w:top w:val="none" w:sz="0" w:space="0" w:color="auto"/>
        <w:left w:val="none" w:sz="0" w:space="0" w:color="auto"/>
        <w:bottom w:val="none" w:sz="0" w:space="0" w:color="auto"/>
        <w:right w:val="none" w:sz="0" w:space="0" w:color="auto"/>
      </w:divBdr>
    </w:div>
    <w:div w:id="461465718">
      <w:bodyDiv w:val="1"/>
      <w:marLeft w:val="0"/>
      <w:marRight w:val="0"/>
      <w:marTop w:val="0"/>
      <w:marBottom w:val="0"/>
      <w:divBdr>
        <w:top w:val="none" w:sz="0" w:space="0" w:color="auto"/>
        <w:left w:val="none" w:sz="0" w:space="0" w:color="auto"/>
        <w:bottom w:val="none" w:sz="0" w:space="0" w:color="auto"/>
        <w:right w:val="none" w:sz="0" w:space="0" w:color="auto"/>
      </w:divBdr>
    </w:div>
    <w:div w:id="468402022">
      <w:bodyDiv w:val="1"/>
      <w:marLeft w:val="0"/>
      <w:marRight w:val="0"/>
      <w:marTop w:val="0"/>
      <w:marBottom w:val="0"/>
      <w:divBdr>
        <w:top w:val="none" w:sz="0" w:space="0" w:color="auto"/>
        <w:left w:val="none" w:sz="0" w:space="0" w:color="auto"/>
        <w:bottom w:val="none" w:sz="0" w:space="0" w:color="auto"/>
        <w:right w:val="none" w:sz="0" w:space="0" w:color="auto"/>
      </w:divBdr>
    </w:div>
    <w:div w:id="470513638">
      <w:bodyDiv w:val="1"/>
      <w:marLeft w:val="0"/>
      <w:marRight w:val="0"/>
      <w:marTop w:val="0"/>
      <w:marBottom w:val="0"/>
      <w:divBdr>
        <w:top w:val="none" w:sz="0" w:space="0" w:color="auto"/>
        <w:left w:val="none" w:sz="0" w:space="0" w:color="auto"/>
        <w:bottom w:val="none" w:sz="0" w:space="0" w:color="auto"/>
        <w:right w:val="none" w:sz="0" w:space="0" w:color="auto"/>
      </w:divBdr>
    </w:div>
    <w:div w:id="473061559">
      <w:bodyDiv w:val="1"/>
      <w:marLeft w:val="0"/>
      <w:marRight w:val="0"/>
      <w:marTop w:val="0"/>
      <w:marBottom w:val="0"/>
      <w:divBdr>
        <w:top w:val="none" w:sz="0" w:space="0" w:color="auto"/>
        <w:left w:val="none" w:sz="0" w:space="0" w:color="auto"/>
        <w:bottom w:val="none" w:sz="0" w:space="0" w:color="auto"/>
        <w:right w:val="none" w:sz="0" w:space="0" w:color="auto"/>
      </w:divBdr>
    </w:div>
    <w:div w:id="486552224">
      <w:bodyDiv w:val="1"/>
      <w:marLeft w:val="0"/>
      <w:marRight w:val="0"/>
      <w:marTop w:val="0"/>
      <w:marBottom w:val="0"/>
      <w:divBdr>
        <w:top w:val="none" w:sz="0" w:space="0" w:color="auto"/>
        <w:left w:val="none" w:sz="0" w:space="0" w:color="auto"/>
        <w:bottom w:val="none" w:sz="0" w:space="0" w:color="auto"/>
        <w:right w:val="none" w:sz="0" w:space="0" w:color="auto"/>
      </w:divBdr>
    </w:div>
    <w:div w:id="487133570">
      <w:bodyDiv w:val="1"/>
      <w:marLeft w:val="0"/>
      <w:marRight w:val="0"/>
      <w:marTop w:val="0"/>
      <w:marBottom w:val="0"/>
      <w:divBdr>
        <w:top w:val="none" w:sz="0" w:space="0" w:color="auto"/>
        <w:left w:val="none" w:sz="0" w:space="0" w:color="auto"/>
        <w:bottom w:val="none" w:sz="0" w:space="0" w:color="auto"/>
        <w:right w:val="none" w:sz="0" w:space="0" w:color="auto"/>
      </w:divBdr>
    </w:div>
    <w:div w:id="489954666">
      <w:bodyDiv w:val="1"/>
      <w:marLeft w:val="0"/>
      <w:marRight w:val="0"/>
      <w:marTop w:val="0"/>
      <w:marBottom w:val="0"/>
      <w:divBdr>
        <w:top w:val="none" w:sz="0" w:space="0" w:color="auto"/>
        <w:left w:val="none" w:sz="0" w:space="0" w:color="auto"/>
        <w:bottom w:val="none" w:sz="0" w:space="0" w:color="auto"/>
        <w:right w:val="none" w:sz="0" w:space="0" w:color="auto"/>
      </w:divBdr>
    </w:div>
    <w:div w:id="495069946">
      <w:bodyDiv w:val="1"/>
      <w:marLeft w:val="0"/>
      <w:marRight w:val="0"/>
      <w:marTop w:val="0"/>
      <w:marBottom w:val="0"/>
      <w:divBdr>
        <w:top w:val="none" w:sz="0" w:space="0" w:color="auto"/>
        <w:left w:val="none" w:sz="0" w:space="0" w:color="auto"/>
        <w:bottom w:val="none" w:sz="0" w:space="0" w:color="auto"/>
        <w:right w:val="none" w:sz="0" w:space="0" w:color="auto"/>
      </w:divBdr>
    </w:div>
    <w:div w:id="495344979">
      <w:bodyDiv w:val="1"/>
      <w:marLeft w:val="0"/>
      <w:marRight w:val="0"/>
      <w:marTop w:val="0"/>
      <w:marBottom w:val="0"/>
      <w:divBdr>
        <w:top w:val="none" w:sz="0" w:space="0" w:color="auto"/>
        <w:left w:val="none" w:sz="0" w:space="0" w:color="auto"/>
        <w:bottom w:val="none" w:sz="0" w:space="0" w:color="auto"/>
        <w:right w:val="none" w:sz="0" w:space="0" w:color="auto"/>
      </w:divBdr>
    </w:div>
    <w:div w:id="498925914">
      <w:bodyDiv w:val="1"/>
      <w:marLeft w:val="0"/>
      <w:marRight w:val="0"/>
      <w:marTop w:val="0"/>
      <w:marBottom w:val="0"/>
      <w:divBdr>
        <w:top w:val="none" w:sz="0" w:space="0" w:color="auto"/>
        <w:left w:val="none" w:sz="0" w:space="0" w:color="auto"/>
        <w:bottom w:val="none" w:sz="0" w:space="0" w:color="auto"/>
        <w:right w:val="none" w:sz="0" w:space="0" w:color="auto"/>
      </w:divBdr>
    </w:div>
    <w:div w:id="510417489">
      <w:bodyDiv w:val="1"/>
      <w:marLeft w:val="0"/>
      <w:marRight w:val="0"/>
      <w:marTop w:val="0"/>
      <w:marBottom w:val="0"/>
      <w:divBdr>
        <w:top w:val="none" w:sz="0" w:space="0" w:color="auto"/>
        <w:left w:val="none" w:sz="0" w:space="0" w:color="auto"/>
        <w:bottom w:val="none" w:sz="0" w:space="0" w:color="auto"/>
        <w:right w:val="none" w:sz="0" w:space="0" w:color="auto"/>
      </w:divBdr>
    </w:div>
    <w:div w:id="528420897">
      <w:bodyDiv w:val="1"/>
      <w:marLeft w:val="0"/>
      <w:marRight w:val="0"/>
      <w:marTop w:val="0"/>
      <w:marBottom w:val="0"/>
      <w:divBdr>
        <w:top w:val="none" w:sz="0" w:space="0" w:color="auto"/>
        <w:left w:val="none" w:sz="0" w:space="0" w:color="auto"/>
        <w:bottom w:val="none" w:sz="0" w:space="0" w:color="auto"/>
        <w:right w:val="none" w:sz="0" w:space="0" w:color="auto"/>
      </w:divBdr>
    </w:div>
    <w:div w:id="531187940">
      <w:bodyDiv w:val="1"/>
      <w:marLeft w:val="0"/>
      <w:marRight w:val="0"/>
      <w:marTop w:val="0"/>
      <w:marBottom w:val="0"/>
      <w:divBdr>
        <w:top w:val="none" w:sz="0" w:space="0" w:color="auto"/>
        <w:left w:val="none" w:sz="0" w:space="0" w:color="auto"/>
        <w:bottom w:val="none" w:sz="0" w:space="0" w:color="auto"/>
        <w:right w:val="none" w:sz="0" w:space="0" w:color="auto"/>
      </w:divBdr>
    </w:div>
    <w:div w:id="543714713">
      <w:bodyDiv w:val="1"/>
      <w:marLeft w:val="0"/>
      <w:marRight w:val="0"/>
      <w:marTop w:val="0"/>
      <w:marBottom w:val="0"/>
      <w:divBdr>
        <w:top w:val="none" w:sz="0" w:space="0" w:color="auto"/>
        <w:left w:val="none" w:sz="0" w:space="0" w:color="auto"/>
        <w:bottom w:val="none" w:sz="0" w:space="0" w:color="auto"/>
        <w:right w:val="none" w:sz="0" w:space="0" w:color="auto"/>
      </w:divBdr>
    </w:div>
    <w:div w:id="550460416">
      <w:bodyDiv w:val="1"/>
      <w:marLeft w:val="0"/>
      <w:marRight w:val="0"/>
      <w:marTop w:val="0"/>
      <w:marBottom w:val="0"/>
      <w:divBdr>
        <w:top w:val="none" w:sz="0" w:space="0" w:color="auto"/>
        <w:left w:val="none" w:sz="0" w:space="0" w:color="auto"/>
        <w:bottom w:val="none" w:sz="0" w:space="0" w:color="auto"/>
        <w:right w:val="none" w:sz="0" w:space="0" w:color="auto"/>
      </w:divBdr>
    </w:div>
    <w:div w:id="578834783">
      <w:bodyDiv w:val="1"/>
      <w:marLeft w:val="0"/>
      <w:marRight w:val="0"/>
      <w:marTop w:val="0"/>
      <w:marBottom w:val="0"/>
      <w:divBdr>
        <w:top w:val="none" w:sz="0" w:space="0" w:color="auto"/>
        <w:left w:val="none" w:sz="0" w:space="0" w:color="auto"/>
        <w:bottom w:val="none" w:sz="0" w:space="0" w:color="auto"/>
        <w:right w:val="none" w:sz="0" w:space="0" w:color="auto"/>
      </w:divBdr>
    </w:div>
    <w:div w:id="579951171">
      <w:bodyDiv w:val="1"/>
      <w:marLeft w:val="0"/>
      <w:marRight w:val="0"/>
      <w:marTop w:val="0"/>
      <w:marBottom w:val="0"/>
      <w:divBdr>
        <w:top w:val="none" w:sz="0" w:space="0" w:color="auto"/>
        <w:left w:val="none" w:sz="0" w:space="0" w:color="auto"/>
        <w:bottom w:val="none" w:sz="0" w:space="0" w:color="auto"/>
        <w:right w:val="none" w:sz="0" w:space="0" w:color="auto"/>
      </w:divBdr>
    </w:div>
    <w:div w:id="601762125">
      <w:bodyDiv w:val="1"/>
      <w:marLeft w:val="0"/>
      <w:marRight w:val="0"/>
      <w:marTop w:val="0"/>
      <w:marBottom w:val="0"/>
      <w:divBdr>
        <w:top w:val="none" w:sz="0" w:space="0" w:color="auto"/>
        <w:left w:val="none" w:sz="0" w:space="0" w:color="auto"/>
        <w:bottom w:val="none" w:sz="0" w:space="0" w:color="auto"/>
        <w:right w:val="none" w:sz="0" w:space="0" w:color="auto"/>
      </w:divBdr>
    </w:div>
    <w:div w:id="605498670">
      <w:bodyDiv w:val="1"/>
      <w:marLeft w:val="0"/>
      <w:marRight w:val="0"/>
      <w:marTop w:val="0"/>
      <w:marBottom w:val="0"/>
      <w:divBdr>
        <w:top w:val="none" w:sz="0" w:space="0" w:color="auto"/>
        <w:left w:val="none" w:sz="0" w:space="0" w:color="auto"/>
        <w:bottom w:val="none" w:sz="0" w:space="0" w:color="auto"/>
        <w:right w:val="none" w:sz="0" w:space="0" w:color="auto"/>
      </w:divBdr>
    </w:div>
    <w:div w:id="610939523">
      <w:bodyDiv w:val="1"/>
      <w:marLeft w:val="0"/>
      <w:marRight w:val="0"/>
      <w:marTop w:val="0"/>
      <w:marBottom w:val="0"/>
      <w:divBdr>
        <w:top w:val="none" w:sz="0" w:space="0" w:color="auto"/>
        <w:left w:val="none" w:sz="0" w:space="0" w:color="auto"/>
        <w:bottom w:val="none" w:sz="0" w:space="0" w:color="auto"/>
        <w:right w:val="none" w:sz="0" w:space="0" w:color="auto"/>
      </w:divBdr>
    </w:div>
    <w:div w:id="611129308">
      <w:bodyDiv w:val="1"/>
      <w:marLeft w:val="0"/>
      <w:marRight w:val="0"/>
      <w:marTop w:val="0"/>
      <w:marBottom w:val="0"/>
      <w:divBdr>
        <w:top w:val="none" w:sz="0" w:space="0" w:color="auto"/>
        <w:left w:val="none" w:sz="0" w:space="0" w:color="auto"/>
        <w:bottom w:val="none" w:sz="0" w:space="0" w:color="auto"/>
        <w:right w:val="none" w:sz="0" w:space="0" w:color="auto"/>
      </w:divBdr>
    </w:div>
    <w:div w:id="626084933">
      <w:bodyDiv w:val="1"/>
      <w:marLeft w:val="0"/>
      <w:marRight w:val="0"/>
      <w:marTop w:val="0"/>
      <w:marBottom w:val="0"/>
      <w:divBdr>
        <w:top w:val="none" w:sz="0" w:space="0" w:color="auto"/>
        <w:left w:val="none" w:sz="0" w:space="0" w:color="auto"/>
        <w:bottom w:val="none" w:sz="0" w:space="0" w:color="auto"/>
        <w:right w:val="none" w:sz="0" w:space="0" w:color="auto"/>
      </w:divBdr>
    </w:div>
    <w:div w:id="626393183">
      <w:bodyDiv w:val="1"/>
      <w:marLeft w:val="0"/>
      <w:marRight w:val="0"/>
      <w:marTop w:val="0"/>
      <w:marBottom w:val="0"/>
      <w:divBdr>
        <w:top w:val="none" w:sz="0" w:space="0" w:color="auto"/>
        <w:left w:val="none" w:sz="0" w:space="0" w:color="auto"/>
        <w:bottom w:val="none" w:sz="0" w:space="0" w:color="auto"/>
        <w:right w:val="none" w:sz="0" w:space="0" w:color="auto"/>
      </w:divBdr>
    </w:div>
    <w:div w:id="645935353">
      <w:bodyDiv w:val="1"/>
      <w:marLeft w:val="0"/>
      <w:marRight w:val="0"/>
      <w:marTop w:val="0"/>
      <w:marBottom w:val="0"/>
      <w:divBdr>
        <w:top w:val="none" w:sz="0" w:space="0" w:color="auto"/>
        <w:left w:val="none" w:sz="0" w:space="0" w:color="auto"/>
        <w:bottom w:val="none" w:sz="0" w:space="0" w:color="auto"/>
        <w:right w:val="none" w:sz="0" w:space="0" w:color="auto"/>
      </w:divBdr>
    </w:div>
    <w:div w:id="650256396">
      <w:bodyDiv w:val="1"/>
      <w:marLeft w:val="0"/>
      <w:marRight w:val="0"/>
      <w:marTop w:val="0"/>
      <w:marBottom w:val="0"/>
      <w:divBdr>
        <w:top w:val="none" w:sz="0" w:space="0" w:color="auto"/>
        <w:left w:val="none" w:sz="0" w:space="0" w:color="auto"/>
        <w:bottom w:val="none" w:sz="0" w:space="0" w:color="auto"/>
        <w:right w:val="none" w:sz="0" w:space="0" w:color="auto"/>
      </w:divBdr>
    </w:div>
    <w:div w:id="671182261">
      <w:bodyDiv w:val="1"/>
      <w:marLeft w:val="0"/>
      <w:marRight w:val="0"/>
      <w:marTop w:val="0"/>
      <w:marBottom w:val="0"/>
      <w:divBdr>
        <w:top w:val="none" w:sz="0" w:space="0" w:color="auto"/>
        <w:left w:val="none" w:sz="0" w:space="0" w:color="auto"/>
        <w:bottom w:val="none" w:sz="0" w:space="0" w:color="auto"/>
        <w:right w:val="none" w:sz="0" w:space="0" w:color="auto"/>
      </w:divBdr>
    </w:div>
    <w:div w:id="693305360">
      <w:bodyDiv w:val="1"/>
      <w:marLeft w:val="0"/>
      <w:marRight w:val="0"/>
      <w:marTop w:val="0"/>
      <w:marBottom w:val="0"/>
      <w:divBdr>
        <w:top w:val="none" w:sz="0" w:space="0" w:color="auto"/>
        <w:left w:val="none" w:sz="0" w:space="0" w:color="auto"/>
        <w:bottom w:val="none" w:sz="0" w:space="0" w:color="auto"/>
        <w:right w:val="none" w:sz="0" w:space="0" w:color="auto"/>
      </w:divBdr>
    </w:div>
    <w:div w:id="705912670">
      <w:bodyDiv w:val="1"/>
      <w:marLeft w:val="0"/>
      <w:marRight w:val="0"/>
      <w:marTop w:val="0"/>
      <w:marBottom w:val="0"/>
      <w:divBdr>
        <w:top w:val="none" w:sz="0" w:space="0" w:color="auto"/>
        <w:left w:val="none" w:sz="0" w:space="0" w:color="auto"/>
        <w:bottom w:val="none" w:sz="0" w:space="0" w:color="auto"/>
        <w:right w:val="none" w:sz="0" w:space="0" w:color="auto"/>
      </w:divBdr>
    </w:div>
    <w:div w:id="714623374">
      <w:bodyDiv w:val="1"/>
      <w:marLeft w:val="0"/>
      <w:marRight w:val="0"/>
      <w:marTop w:val="0"/>
      <w:marBottom w:val="0"/>
      <w:divBdr>
        <w:top w:val="none" w:sz="0" w:space="0" w:color="auto"/>
        <w:left w:val="none" w:sz="0" w:space="0" w:color="auto"/>
        <w:bottom w:val="none" w:sz="0" w:space="0" w:color="auto"/>
        <w:right w:val="none" w:sz="0" w:space="0" w:color="auto"/>
      </w:divBdr>
    </w:div>
    <w:div w:id="718630355">
      <w:bodyDiv w:val="1"/>
      <w:marLeft w:val="0"/>
      <w:marRight w:val="0"/>
      <w:marTop w:val="0"/>
      <w:marBottom w:val="0"/>
      <w:divBdr>
        <w:top w:val="none" w:sz="0" w:space="0" w:color="auto"/>
        <w:left w:val="none" w:sz="0" w:space="0" w:color="auto"/>
        <w:bottom w:val="none" w:sz="0" w:space="0" w:color="auto"/>
        <w:right w:val="none" w:sz="0" w:space="0" w:color="auto"/>
      </w:divBdr>
    </w:div>
    <w:div w:id="726223750">
      <w:bodyDiv w:val="1"/>
      <w:marLeft w:val="0"/>
      <w:marRight w:val="0"/>
      <w:marTop w:val="0"/>
      <w:marBottom w:val="0"/>
      <w:divBdr>
        <w:top w:val="none" w:sz="0" w:space="0" w:color="auto"/>
        <w:left w:val="none" w:sz="0" w:space="0" w:color="auto"/>
        <w:bottom w:val="none" w:sz="0" w:space="0" w:color="auto"/>
        <w:right w:val="none" w:sz="0" w:space="0" w:color="auto"/>
      </w:divBdr>
    </w:div>
    <w:div w:id="730806717">
      <w:bodyDiv w:val="1"/>
      <w:marLeft w:val="0"/>
      <w:marRight w:val="0"/>
      <w:marTop w:val="0"/>
      <w:marBottom w:val="0"/>
      <w:divBdr>
        <w:top w:val="none" w:sz="0" w:space="0" w:color="auto"/>
        <w:left w:val="none" w:sz="0" w:space="0" w:color="auto"/>
        <w:bottom w:val="none" w:sz="0" w:space="0" w:color="auto"/>
        <w:right w:val="none" w:sz="0" w:space="0" w:color="auto"/>
      </w:divBdr>
    </w:div>
    <w:div w:id="736050108">
      <w:bodyDiv w:val="1"/>
      <w:marLeft w:val="0"/>
      <w:marRight w:val="0"/>
      <w:marTop w:val="0"/>
      <w:marBottom w:val="0"/>
      <w:divBdr>
        <w:top w:val="none" w:sz="0" w:space="0" w:color="auto"/>
        <w:left w:val="none" w:sz="0" w:space="0" w:color="auto"/>
        <w:bottom w:val="none" w:sz="0" w:space="0" w:color="auto"/>
        <w:right w:val="none" w:sz="0" w:space="0" w:color="auto"/>
      </w:divBdr>
    </w:div>
    <w:div w:id="753161677">
      <w:bodyDiv w:val="1"/>
      <w:marLeft w:val="0"/>
      <w:marRight w:val="0"/>
      <w:marTop w:val="0"/>
      <w:marBottom w:val="0"/>
      <w:divBdr>
        <w:top w:val="none" w:sz="0" w:space="0" w:color="auto"/>
        <w:left w:val="none" w:sz="0" w:space="0" w:color="auto"/>
        <w:bottom w:val="none" w:sz="0" w:space="0" w:color="auto"/>
        <w:right w:val="none" w:sz="0" w:space="0" w:color="auto"/>
      </w:divBdr>
    </w:div>
    <w:div w:id="755322346">
      <w:bodyDiv w:val="1"/>
      <w:marLeft w:val="0"/>
      <w:marRight w:val="0"/>
      <w:marTop w:val="0"/>
      <w:marBottom w:val="0"/>
      <w:divBdr>
        <w:top w:val="none" w:sz="0" w:space="0" w:color="auto"/>
        <w:left w:val="none" w:sz="0" w:space="0" w:color="auto"/>
        <w:bottom w:val="none" w:sz="0" w:space="0" w:color="auto"/>
        <w:right w:val="none" w:sz="0" w:space="0" w:color="auto"/>
      </w:divBdr>
    </w:div>
    <w:div w:id="758910236">
      <w:bodyDiv w:val="1"/>
      <w:marLeft w:val="0"/>
      <w:marRight w:val="0"/>
      <w:marTop w:val="0"/>
      <w:marBottom w:val="0"/>
      <w:divBdr>
        <w:top w:val="none" w:sz="0" w:space="0" w:color="auto"/>
        <w:left w:val="none" w:sz="0" w:space="0" w:color="auto"/>
        <w:bottom w:val="none" w:sz="0" w:space="0" w:color="auto"/>
        <w:right w:val="none" w:sz="0" w:space="0" w:color="auto"/>
      </w:divBdr>
    </w:div>
    <w:div w:id="764686924">
      <w:bodyDiv w:val="1"/>
      <w:marLeft w:val="0"/>
      <w:marRight w:val="0"/>
      <w:marTop w:val="0"/>
      <w:marBottom w:val="0"/>
      <w:divBdr>
        <w:top w:val="none" w:sz="0" w:space="0" w:color="auto"/>
        <w:left w:val="none" w:sz="0" w:space="0" w:color="auto"/>
        <w:bottom w:val="none" w:sz="0" w:space="0" w:color="auto"/>
        <w:right w:val="none" w:sz="0" w:space="0" w:color="auto"/>
      </w:divBdr>
    </w:div>
    <w:div w:id="770205941">
      <w:bodyDiv w:val="1"/>
      <w:marLeft w:val="0"/>
      <w:marRight w:val="0"/>
      <w:marTop w:val="0"/>
      <w:marBottom w:val="0"/>
      <w:divBdr>
        <w:top w:val="none" w:sz="0" w:space="0" w:color="auto"/>
        <w:left w:val="none" w:sz="0" w:space="0" w:color="auto"/>
        <w:bottom w:val="none" w:sz="0" w:space="0" w:color="auto"/>
        <w:right w:val="none" w:sz="0" w:space="0" w:color="auto"/>
      </w:divBdr>
      <w:divsChild>
        <w:div w:id="1550147011">
          <w:marLeft w:val="360"/>
          <w:marRight w:val="0"/>
          <w:marTop w:val="200"/>
          <w:marBottom w:val="0"/>
          <w:divBdr>
            <w:top w:val="none" w:sz="0" w:space="0" w:color="auto"/>
            <w:left w:val="none" w:sz="0" w:space="0" w:color="auto"/>
            <w:bottom w:val="none" w:sz="0" w:space="0" w:color="auto"/>
            <w:right w:val="none" w:sz="0" w:space="0" w:color="auto"/>
          </w:divBdr>
        </w:div>
      </w:divsChild>
    </w:div>
    <w:div w:id="770509266">
      <w:bodyDiv w:val="1"/>
      <w:marLeft w:val="0"/>
      <w:marRight w:val="0"/>
      <w:marTop w:val="0"/>
      <w:marBottom w:val="0"/>
      <w:divBdr>
        <w:top w:val="none" w:sz="0" w:space="0" w:color="auto"/>
        <w:left w:val="none" w:sz="0" w:space="0" w:color="auto"/>
        <w:bottom w:val="none" w:sz="0" w:space="0" w:color="auto"/>
        <w:right w:val="none" w:sz="0" w:space="0" w:color="auto"/>
      </w:divBdr>
    </w:div>
    <w:div w:id="801390748">
      <w:bodyDiv w:val="1"/>
      <w:marLeft w:val="0"/>
      <w:marRight w:val="0"/>
      <w:marTop w:val="0"/>
      <w:marBottom w:val="0"/>
      <w:divBdr>
        <w:top w:val="none" w:sz="0" w:space="0" w:color="auto"/>
        <w:left w:val="none" w:sz="0" w:space="0" w:color="auto"/>
        <w:bottom w:val="none" w:sz="0" w:space="0" w:color="auto"/>
        <w:right w:val="none" w:sz="0" w:space="0" w:color="auto"/>
      </w:divBdr>
    </w:div>
    <w:div w:id="804158435">
      <w:bodyDiv w:val="1"/>
      <w:marLeft w:val="0"/>
      <w:marRight w:val="0"/>
      <w:marTop w:val="0"/>
      <w:marBottom w:val="0"/>
      <w:divBdr>
        <w:top w:val="none" w:sz="0" w:space="0" w:color="auto"/>
        <w:left w:val="none" w:sz="0" w:space="0" w:color="auto"/>
        <w:bottom w:val="none" w:sz="0" w:space="0" w:color="auto"/>
        <w:right w:val="none" w:sz="0" w:space="0" w:color="auto"/>
      </w:divBdr>
    </w:div>
    <w:div w:id="817650196">
      <w:bodyDiv w:val="1"/>
      <w:marLeft w:val="0"/>
      <w:marRight w:val="0"/>
      <w:marTop w:val="0"/>
      <w:marBottom w:val="0"/>
      <w:divBdr>
        <w:top w:val="none" w:sz="0" w:space="0" w:color="auto"/>
        <w:left w:val="none" w:sz="0" w:space="0" w:color="auto"/>
        <w:bottom w:val="none" w:sz="0" w:space="0" w:color="auto"/>
        <w:right w:val="none" w:sz="0" w:space="0" w:color="auto"/>
      </w:divBdr>
    </w:div>
    <w:div w:id="837773017">
      <w:bodyDiv w:val="1"/>
      <w:marLeft w:val="0"/>
      <w:marRight w:val="0"/>
      <w:marTop w:val="0"/>
      <w:marBottom w:val="0"/>
      <w:divBdr>
        <w:top w:val="none" w:sz="0" w:space="0" w:color="auto"/>
        <w:left w:val="none" w:sz="0" w:space="0" w:color="auto"/>
        <w:bottom w:val="none" w:sz="0" w:space="0" w:color="auto"/>
        <w:right w:val="none" w:sz="0" w:space="0" w:color="auto"/>
      </w:divBdr>
    </w:div>
    <w:div w:id="843596870">
      <w:bodyDiv w:val="1"/>
      <w:marLeft w:val="0"/>
      <w:marRight w:val="0"/>
      <w:marTop w:val="0"/>
      <w:marBottom w:val="0"/>
      <w:divBdr>
        <w:top w:val="none" w:sz="0" w:space="0" w:color="auto"/>
        <w:left w:val="none" w:sz="0" w:space="0" w:color="auto"/>
        <w:bottom w:val="none" w:sz="0" w:space="0" w:color="auto"/>
        <w:right w:val="none" w:sz="0" w:space="0" w:color="auto"/>
      </w:divBdr>
    </w:div>
    <w:div w:id="844705161">
      <w:bodyDiv w:val="1"/>
      <w:marLeft w:val="0"/>
      <w:marRight w:val="0"/>
      <w:marTop w:val="0"/>
      <w:marBottom w:val="0"/>
      <w:divBdr>
        <w:top w:val="none" w:sz="0" w:space="0" w:color="auto"/>
        <w:left w:val="none" w:sz="0" w:space="0" w:color="auto"/>
        <w:bottom w:val="none" w:sz="0" w:space="0" w:color="auto"/>
        <w:right w:val="none" w:sz="0" w:space="0" w:color="auto"/>
      </w:divBdr>
    </w:div>
    <w:div w:id="849292227">
      <w:bodyDiv w:val="1"/>
      <w:marLeft w:val="0"/>
      <w:marRight w:val="0"/>
      <w:marTop w:val="0"/>
      <w:marBottom w:val="0"/>
      <w:divBdr>
        <w:top w:val="none" w:sz="0" w:space="0" w:color="auto"/>
        <w:left w:val="none" w:sz="0" w:space="0" w:color="auto"/>
        <w:bottom w:val="none" w:sz="0" w:space="0" w:color="auto"/>
        <w:right w:val="none" w:sz="0" w:space="0" w:color="auto"/>
      </w:divBdr>
    </w:div>
    <w:div w:id="855312578">
      <w:bodyDiv w:val="1"/>
      <w:marLeft w:val="0"/>
      <w:marRight w:val="0"/>
      <w:marTop w:val="0"/>
      <w:marBottom w:val="0"/>
      <w:divBdr>
        <w:top w:val="none" w:sz="0" w:space="0" w:color="auto"/>
        <w:left w:val="none" w:sz="0" w:space="0" w:color="auto"/>
        <w:bottom w:val="none" w:sz="0" w:space="0" w:color="auto"/>
        <w:right w:val="none" w:sz="0" w:space="0" w:color="auto"/>
      </w:divBdr>
    </w:div>
    <w:div w:id="887692005">
      <w:bodyDiv w:val="1"/>
      <w:marLeft w:val="0"/>
      <w:marRight w:val="0"/>
      <w:marTop w:val="0"/>
      <w:marBottom w:val="0"/>
      <w:divBdr>
        <w:top w:val="none" w:sz="0" w:space="0" w:color="auto"/>
        <w:left w:val="none" w:sz="0" w:space="0" w:color="auto"/>
        <w:bottom w:val="none" w:sz="0" w:space="0" w:color="auto"/>
        <w:right w:val="none" w:sz="0" w:space="0" w:color="auto"/>
      </w:divBdr>
    </w:div>
    <w:div w:id="889682995">
      <w:bodyDiv w:val="1"/>
      <w:marLeft w:val="0"/>
      <w:marRight w:val="0"/>
      <w:marTop w:val="0"/>
      <w:marBottom w:val="0"/>
      <w:divBdr>
        <w:top w:val="none" w:sz="0" w:space="0" w:color="auto"/>
        <w:left w:val="none" w:sz="0" w:space="0" w:color="auto"/>
        <w:bottom w:val="none" w:sz="0" w:space="0" w:color="auto"/>
        <w:right w:val="none" w:sz="0" w:space="0" w:color="auto"/>
      </w:divBdr>
    </w:div>
    <w:div w:id="900751639">
      <w:bodyDiv w:val="1"/>
      <w:marLeft w:val="0"/>
      <w:marRight w:val="0"/>
      <w:marTop w:val="0"/>
      <w:marBottom w:val="0"/>
      <w:divBdr>
        <w:top w:val="none" w:sz="0" w:space="0" w:color="auto"/>
        <w:left w:val="none" w:sz="0" w:space="0" w:color="auto"/>
        <w:bottom w:val="none" w:sz="0" w:space="0" w:color="auto"/>
        <w:right w:val="none" w:sz="0" w:space="0" w:color="auto"/>
      </w:divBdr>
    </w:div>
    <w:div w:id="910970742">
      <w:bodyDiv w:val="1"/>
      <w:marLeft w:val="0"/>
      <w:marRight w:val="0"/>
      <w:marTop w:val="0"/>
      <w:marBottom w:val="0"/>
      <w:divBdr>
        <w:top w:val="none" w:sz="0" w:space="0" w:color="auto"/>
        <w:left w:val="none" w:sz="0" w:space="0" w:color="auto"/>
        <w:bottom w:val="none" w:sz="0" w:space="0" w:color="auto"/>
        <w:right w:val="none" w:sz="0" w:space="0" w:color="auto"/>
      </w:divBdr>
    </w:div>
    <w:div w:id="913509305">
      <w:bodyDiv w:val="1"/>
      <w:marLeft w:val="0"/>
      <w:marRight w:val="0"/>
      <w:marTop w:val="0"/>
      <w:marBottom w:val="0"/>
      <w:divBdr>
        <w:top w:val="none" w:sz="0" w:space="0" w:color="auto"/>
        <w:left w:val="none" w:sz="0" w:space="0" w:color="auto"/>
        <w:bottom w:val="none" w:sz="0" w:space="0" w:color="auto"/>
        <w:right w:val="none" w:sz="0" w:space="0" w:color="auto"/>
      </w:divBdr>
      <w:divsChild>
        <w:div w:id="995768382">
          <w:marLeft w:val="0"/>
          <w:marRight w:val="0"/>
          <w:marTop w:val="192"/>
          <w:marBottom w:val="0"/>
          <w:divBdr>
            <w:top w:val="none" w:sz="0" w:space="0" w:color="auto"/>
            <w:left w:val="none" w:sz="0" w:space="0" w:color="auto"/>
            <w:bottom w:val="none" w:sz="0" w:space="0" w:color="auto"/>
            <w:right w:val="none" w:sz="0" w:space="0" w:color="auto"/>
          </w:divBdr>
        </w:div>
        <w:div w:id="1051466282">
          <w:marLeft w:val="0"/>
          <w:marRight w:val="0"/>
          <w:marTop w:val="192"/>
          <w:marBottom w:val="0"/>
          <w:divBdr>
            <w:top w:val="none" w:sz="0" w:space="0" w:color="auto"/>
            <w:left w:val="none" w:sz="0" w:space="0" w:color="auto"/>
            <w:bottom w:val="none" w:sz="0" w:space="0" w:color="auto"/>
            <w:right w:val="none" w:sz="0" w:space="0" w:color="auto"/>
          </w:divBdr>
        </w:div>
      </w:divsChild>
    </w:div>
    <w:div w:id="916984334">
      <w:bodyDiv w:val="1"/>
      <w:marLeft w:val="0"/>
      <w:marRight w:val="0"/>
      <w:marTop w:val="0"/>
      <w:marBottom w:val="0"/>
      <w:divBdr>
        <w:top w:val="none" w:sz="0" w:space="0" w:color="auto"/>
        <w:left w:val="none" w:sz="0" w:space="0" w:color="auto"/>
        <w:bottom w:val="none" w:sz="0" w:space="0" w:color="auto"/>
        <w:right w:val="none" w:sz="0" w:space="0" w:color="auto"/>
      </w:divBdr>
    </w:div>
    <w:div w:id="920141677">
      <w:bodyDiv w:val="1"/>
      <w:marLeft w:val="0"/>
      <w:marRight w:val="0"/>
      <w:marTop w:val="0"/>
      <w:marBottom w:val="0"/>
      <w:divBdr>
        <w:top w:val="none" w:sz="0" w:space="0" w:color="auto"/>
        <w:left w:val="none" w:sz="0" w:space="0" w:color="auto"/>
        <w:bottom w:val="none" w:sz="0" w:space="0" w:color="auto"/>
        <w:right w:val="none" w:sz="0" w:space="0" w:color="auto"/>
      </w:divBdr>
    </w:div>
    <w:div w:id="924844359">
      <w:bodyDiv w:val="1"/>
      <w:marLeft w:val="0"/>
      <w:marRight w:val="0"/>
      <w:marTop w:val="0"/>
      <w:marBottom w:val="0"/>
      <w:divBdr>
        <w:top w:val="none" w:sz="0" w:space="0" w:color="auto"/>
        <w:left w:val="none" w:sz="0" w:space="0" w:color="auto"/>
        <w:bottom w:val="none" w:sz="0" w:space="0" w:color="auto"/>
        <w:right w:val="none" w:sz="0" w:space="0" w:color="auto"/>
      </w:divBdr>
    </w:div>
    <w:div w:id="931742336">
      <w:bodyDiv w:val="1"/>
      <w:marLeft w:val="0"/>
      <w:marRight w:val="0"/>
      <w:marTop w:val="0"/>
      <w:marBottom w:val="0"/>
      <w:divBdr>
        <w:top w:val="none" w:sz="0" w:space="0" w:color="auto"/>
        <w:left w:val="none" w:sz="0" w:space="0" w:color="auto"/>
        <w:bottom w:val="none" w:sz="0" w:space="0" w:color="auto"/>
        <w:right w:val="none" w:sz="0" w:space="0" w:color="auto"/>
      </w:divBdr>
    </w:div>
    <w:div w:id="937104166">
      <w:bodyDiv w:val="1"/>
      <w:marLeft w:val="0"/>
      <w:marRight w:val="0"/>
      <w:marTop w:val="0"/>
      <w:marBottom w:val="0"/>
      <w:divBdr>
        <w:top w:val="none" w:sz="0" w:space="0" w:color="auto"/>
        <w:left w:val="none" w:sz="0" w:space="0" w:color="auto"/>
        <w:bottom w:val="none" w:sz="0" w:space="0" w:color="auto"/>
        <w:right w:val="none" w:sz="0" w:space="0" w:color="auto"/>
      </w:divBdr>
    </w:div>
    <w:div w:id="937375587">
      <w:bodyDiv w:val="1"/>
      <w:marLeft w:val="0"/>
      <w:marRight w:val="0"/>
      <w:marTop w:val="0"/>
      <w:marBottom w:val="0"/>
      <w:divBdr>
        <w:top w:val="none" w:sz="0" w:space="0" w:color="auto"/>
        <w:left w:val="none" w:sz="0" w:space="0" w:color="auto"/>
        <w:bottom w:val="none" w:sz="0" w:space="0" w:color="auto"/>
        <w:right w:val="none" w:sz="0" w:space="0" w:color="auto"/>
      </w:divBdr>
    </w:div>
    <w:div w:id="946304615">
      <w:bodyDiv w:val="1"/>
      <w:marLeft w:val="0"/>
      <w:marRight w:val="0"/>
      <w:marTop w:val="0"/>
      <w:marBottom w:val="0"/>
      <w:divBdr>
        <w:top w:val="none" w:sz="0" w:space="0" w:color="auto"/>
        <w:left w:val="none" w:sz="0" w:space="0" w:color="auto"/>
        <w:bottom w:val="none" w:sz="0" w:space="0" w:color="auto"/>
        <w:right w:val="none" w:sz="0" w:space="0" w:color="auto"/>
      </w:divBdr>
    </w:div>
    <w:div w:id="984360064">
      <w:bodyDiv w:val="1"/>
      <w:marLeft w:val="0"/>
      <w:marRight w:val="0"/>
      <w:marTop w:val="0"/>
      <w:marBottom w:val="0"/>
      <w:divBdr>
        <w:top w:val="none" w:sz="0" w:space="0" w:color="auto"/>
        <w:left w:val="none" w:sz="0" w:space="0" w:color="auto"/>
        <w:bottom w:val="none" w:sz="0" w:space="0" w:color="auto"/>
        <w:right w:val="none" w:sz="0" w:space="0" w:color="auto"/>
      </w:divBdr>
    </w:div>
    <w:div w:id="985353825">
      <w:bodyDiv w:val="1"/>
      <w:marLeft w:val="0"/>
      <w:marRight w:val="0"/>
      <w:marTop w:val="0"/>
      <w:marBottom w:val="0"/>
      <w:divBdr>
        <w:top w:val="none" w:sz="0" w:space="0" w:color="auto"/>
        <w:left w:val="none" w:sz="0" w:space="0" w:color="auto"/>
        <w:bottom w:val="none" w:sz="0" w:space="0" w:color="auto"/>
        <w:right w:val="none" w:sz="0" w:space="0" w:color="auto"/>
      </w:divBdr>
    </w:div>
    <w:div w:id="986282402">
      <w:bodyDiv w:val="1"/>
      <w:marLeft w:val="0"/>
      <w:marRight w:val="0"/>
      <w:marTop w:val="0"/>
      <w:marBottom w:val="0"/>
      <w:divBdr>
        <w:top w:val="none" w:sz="0" w:space="0" w:color="auto"/>
        <w:left w:val="none" w:sz="0" w:space="0" w:color="auto"/>
        <w:bottom w:val="none" w:sz="0" w:space="0" w:color="auto"/>
        <w:right w:val="none" w:sz="0" w:space="0" w:color="auto"/>
      </w:divBdr>
    </w:div>
    <w:div w:id="987782823">
      <w:bodyDiv w:val="1"/>
      <w:marLeft w:val="0"/>
      <w:marRight w:val="0"/>
      <w:marTop w:val="0"/>
      <w:marBottom w:val="0"/>
      <w:divBdr>
        <w:top w:val="none" w:sz="0" w:space="0" w:color="auto"/>
        <w:left w:val="none" w:sz="0" w:space="0" w:color="auto"/>
        <w:bottom w:val="none" w:sz="0" w:space="0" w:color="auto"/>
        <w:right w:val="none" w:sz="0" w:space="0" w:color="auto"/>
      </w:divBdr>
    </w:div>
    <w:div w:id="1001202896">
      <w:bodyDiv w:val="1"/>
      <w:marLeft w:val="0"/>
      <w:marRight w:val="0"/>
      <w:marTop w:val="0"/>
      <w:marBottom w:val="0"/>
      <w:divBdr>
        <w:top w:val="none" w:sz="0" w:space="0" w:color="auto"/>
        <w:left w:val="none" w:sz="0" w:space="0" w:color="auto"/>
        <w:bottom w:val="none" w:sz="0" w:space="0" w:color="auto"/>
        <w:right w:val="none" w:sz="0" w:space="0" w:color="auto"/>
      </w:divBdr>
    </w:div>
    <w:div w:id="1010716283">
      <w:bodyDiv w:val="1"/>
      <w:marLeft w:val="0"/>
      <w:marRight w:val="0"/>
      <w:marTop w:val="0"/>
      <w:marBottom w:val="0"/>
      <w:divBdr>
        <w:top w:val="none" w:sz="0" w:space="0" w:color="auto"/>
        <w:left w:val="none" w:sz="0" w:space="0" w:color="auto"/>
        <w:bottom w:val="none" w:sz="0" w:space="0" w:color="auto"/>
        <w:right w:val="none" w:sz="0" w:space="0" w:color="auto"/>
      </w:divBdr>
    </w:div>
    <w:div w:id="1011839628">
      <w:bodyDiv w:val="1"/>
      <w:marLeft w:val="0"/>
      <w:marRight w:val="0"/>
      <w:marTop w:val="0"/>
      <w:marBottom w:val="0"/>
      <w:divBdr>
        <w:top w:val="none" w:sz="0" w:space="0" w:color="auto"/>
        <w:left w:val="none" w:sz="0" w:space="0" w:color="auto"/>
        <w:bottom w:val="none" w:sz="0" w:space="0" w:color="auto"/>
        <w:right w:val="none" w:sz="0" w:space="0" w:color="auto"/>
      </w:divBdr>
    </w:div>
    <w:div w:id="1012493880">
      <w:bodyDiv w:val="1"/>
      <w:marLeft w:val="0"/>
      <w:marRight w:val="0"/>
      <w:marTop w:val="0"/>
      <w:marBottom w:val="0"/>
      <w:divBdr>
        <w:top w:val="none" w:sz="0" w:space="0" w:color="auto"/>
        <w:left w:val="none" w:sz="0" w:space="0" w:color="auto"/>
        <w:bottom w:val="none" w:sz="0" w:space="0" w:color="auto"/>
        <w:right w:val="none" w:sz="0" w:space="0" w:color="auto"/>
      </w:divBdr>
    </w:div>
    <w:div w:id="1022049416">
      <w:bodyDiv w:val="1"/>
      <w:marLeft w:val="0"/>
      <w:marRight w:val="0"/>
      <w:marTop w:val="0"/>
      <w:marBottom w:val="0"/>
      <w:divBdr>
        <w:top w:val="none" w:sz="0" w:space="0" w:color="auto"/>
        <w:left w:val="none" w:sz="0" w:space="0" w:color="auto"/>
        <w:bottom w:val="none" w:sz="0" w:space="0" w:color="auto"/>
        <w:right w:val="none" w:sz="0" w:space="0" w:color="auto"/>
      </w:divBdr>
    </w:div>
    <w:div w:id="1039427624">
      <w:bodyDiv w:val="1"/>
      <w:marLeft w:val="0"/>
      <w:marRight w:val="0"/>
      <w:marTop w:val="0"/>
      <w:marBottom w:val="0"/>
      <w:divBdr>
        <w:top w:val="none" w:sz="0" w:space="0" w:color="auto"/>
        <w:left w:val="none" w:sz="0" w:space="0" w:color="auto"/>
        <w:bottom w:val="none" w:sz="0" w:space="0" w:color="auto"/>
        <w:right w:val="none" w:sz="0" w:space="0" w:color="auto"/>
      </w:divBdr>
    </w:div>
    <w:div w:id="1051079233">
      <w:bodyDiv w:val="1"/>
      <w:marLeft w:val="0"/>
      <w:marRight w:val="0"/>
      <w:marTop w:val="0"/>
      <w:marBottom w:val="0"/>
      <w:divBdr>
        <w:top w:val="none" w:sz="0" w:space="0" w:color="auto"/>
        <w:left w:val="none" w:sz="0" w:space="0" w:color="auto"/>
        <w:bottom w:val="none" w:sz="0" w:space="0" w:color="auto"/>
        <w:right w:val="none" w:sz="0" w:space="0" w:color="auto"/>
      </w:divBdr>
    </w:div>
    <w:div w:id="1055620976">
      <w:bodyDiv w:val="1"/>
      <w:marLeft w:val="0"/>
      <w:marRight w:val="0"/>
      <w:marTop w:val="0"/>
      <w:marBottom w:val="0"/>
      <w:divBdr>
        <w:top w:val="none" w:sz="0" w:space="0" w:color="auto"/>
        <w:left w:val="none" w:sz="0" w:space="0" w:color="auto"/>
        <w:bottom w:val="none" w:sz="0" w:space="0" w:color="auto"/>
        <w:right w:val="none" w:sz="0" w:space="0" w:color="auto"/>
      </w:divBdr>
    </w:div>
    <w:div w:id="1072897052">
      <w:bodyDiv w:val="1"/>
      <w:marLeft w:val="0"/>
      <w:marRight w:val="0"/>
      <w:marTop w:val="0"/>
      <w:marBottom w:val="0"/>
      <w:divBdr>
        <w:top w:val="none" w:sz="0" w:space="0" w:color="auto"/>
        <w:left w:val="none" w:sz="0" w:space="0" w:color="auto"/>
        <w:bottom w:val="none" w:sz="0" w:space="0" w:color="auto"/>
        <w:right w:val="none" w:sz="0" w:space="0" w:color="auto"/>
      </w:divBdr>
    </w:div>
    <w:div w:id="1079644190">
      <w:bodyDiv w:val="1"/>
      <w:marLeft w:val="0"/>
      <w:marRight w:val="0"/>
      <w:marTop w:val="0"/>
      <w:marBottom w:val="0"/>
      <w:divBdr>
        <w:top w:val="none" w:sz="0" w:space="0" w:color="auto"/>
        <w:left w:val="none" w:sz="0" w:space="0" w:color="auto"/>
        <w:bottom w:val="none" w:sz="0" w:space="0" w:color="auto"/>
        <w:right w:val="none" w:sz="0" w:space="0" w:color="auto"/>
      </w:divBdr>
    </w:div>
    <w:div w:id="1084228391">
      <w:bodyDiv w:val="1"/>
      <w:marLeft w:val="0"/>
      <w:marRight w:val="0"/>
      <w:marTop w:val="0"/>
      <w:marBottom w:val="0"/>
      <w:divBdr>
        <w:top w:val="none" w:sz="0" w:space="0" w:color="auto"/>
        <w:left w:val="none" w:sz="0" w:space="0" w:color="auto"/>
        <w:bottom w:val="none" w:sz="0" w:space="0" w:color="auto"/>
        <w:right w:val="none" w:sz="0" w:space="0" w:color="auto"/>
      </w:divBdr>
    </w:div>
    <w:div w:id="1084574701">
      <w:bodyDiv w:val="1"/>
      <w:marLeft w:val="0"/>
      <w:marRight w:val="0"/>
      <w:marTop w:val="0"/>
      <w:marBottom w:val="0"/>
      <w:divBdr>
        <w:top w:val="none" w:sz="0" w:space="0" w:color="auto"/>
        <w:left w:val="none" w:sz="0" w:space="0" w:color="auto"/>
        <w:bottom w:val="none" w:sz="0" w:space="0" w:color="auto"/>
        <w:right w:val="none" w:sz="0" w:space="0" w:color="auto"/>
      </w:divBdr>
    </w:div>
    <w:div w:id="1089083956">
      <w:bodyDiv w:val="1"/>
      <w:marLeft w:val="0"/>
      <w:marRight w:val="0"/>
      <w:marTop w:val="0"/>
      <w:marBottom w:val="0"/>
      <w:divBdr>
        <w:top w:val="none" w:sz="0" w:space="0" w:color="auto"/>
        <w:left w:val="none" w:sz="0" w:space="0" w:color="auto"/>
        <w:bottom w:val="none" w:sz="0" w:space="0" w:color="auto"/>
        <w:right w:val="none" w:sz="0" w:space="0" w:color="auto"/>
      </w:divBdr>
    </w:div>
    <w:div w:id="1090005360">
      <w:bodyDiv w:val="1"/>
      <w:marLeft w:val="0"/>
      <w:marRight w:val="0"/>
      <w:marTop w:val="0"/>
      <w:marBottom w:val="0"/>
      <w:divBdr>
        <w:top w:val="none" w:sz="0" w:space="0" w:color="auto"/>
        <w:left w:val="none" w:sz="0" w:space="0" w:color="auto"/>
        <w:bottom w:val="none" w:sz="0" w:space="0" w:color="auto"/>
        <w:right w:val="none" w:sz="0" w:space="0" w:color="auto"/>
      </w:divBdr>
    </w:div>
    <w:div w:id="1095444635">
      <w:bodyDiv w:val="1"/>
      <w:marLeft w:val="0"/>
      <w:marRight w:val="0"/>
      <w:marTop w:val="0"/>
      <w:marBottom w:val="0"/>
      <w:divBdr>
        <w:top w:val="none" w:sz="0" w:space="0" w:color="auto"/>
        <w:left w:val="none" w:sz="0" w:space="0" w:color="auto"/>
        <w:bottom w:val="none" w:sz="0" w:space="0" w:color="auto"/>
        <w:right w:val="none" w:sz="0" w:space="0" w:color="auto"/>
      </w:divBdr>
    </w:div>
    <w:div w:id="1096556410">
      <w:bodyDiv w:val="1"/>
      <w:marLeft w:val="0"/>
      <w:marRight w:val="0"/>
      <w:marTop w:val="0"/>
      <w:marBottom w:val="0"/>
      <w:divBdr>
        <w:top w:val="none" w:sz="0" w:space="0" w:color="auto"/>
        <w:left w:val="none" w:sz="0" w:space="0" w:color="auto"/>
        <w:bottom w:val="none" w:sz="0" w:space="0" w:color="auto"/>
        <w:right w:val="none" w:sz="0" w:space="0" w:color="auto"/>
      </w:divBdr>
    </w:div>
    <w:div w:id="1100680886">
      <w:bodyDiv w:val="1"/>
      <w:marLeft w:val="0"/>
      <w:marRight w:val="0"/>
      <w:marTop w:val="0"/>
      <w:marBottom w:val="0"/>
      <w:divBdr>
        <w:top w:val="none" w:sz="0" w:space="0" w:color="auto"/>
        <w:left w:val="none" w:sz="0" w:space="0" w:color="auto"/>
        <w:bottom w:val="none" w:sz="0" w:space="0" w:color="auto"/>
        <w:right w:val="none" w:sz="0" w:space="0" w:color="auto"/>
      </w:divBdr>
    </w:div>
    <w:div w:id="1110511786">
      <w:bodyDiv w:val="1"/>
      <w:marLeft w:val="0"/>
      <w:marRight w:val="0"/>
      <w:marTop w:val="0"/>
      <w:marBottom w:val="0"/>
      <w:divBdr>
        <w:top w:val="none" w:sz="0" w:space="0" w:color="auto"/>
        <w:left w:val="none" w:sz="0" w:space="0" w:color="auto"/>
        <w:bottom w:val="none" w:sz="0" w:space="0" w:color="auto"/>
        <w:right w:val="none" w:sz="0" w:space="0" w:color="auto"/>
      </w:divBdr>
    </w:div>
    <w:div w:id="1117331024">
      <w:bodyDiv w:val="1"/>
      <w:marLeft w:val="0"/>
      <w:marRight w:val="0"/>
      <w:marTop w:val="0"/>
      <w:marBottom w:val="0"/>
      <w:divBdr>
        <w:top w:val="none" w:sz="0" w:space="0" w:color="auto"/>
        <w:left w:val="none" w:sz="0" w:space="0" w:color="auto"/>
        <w:bottom w:val="none" w:sz="0" w:space="0" w:color="auto"/>
        <w:right w:val="none" w:sz="0" w:space="0" w:color="auto"/>
      </w:divBdr>
    </w:div>
    <w:div w:id="1122304925">
      <w:bodyDiv w:val="1"/>
      <w:marLeft w:val="0"/>
      <w:marRight w:val="0"/>
      <w:marTop w:val="0"/>
      <w:marBottom w:val="0"/>
      <w:divBdr>
        <w:top w:val="none" w:sz="0" w:space="0" w:color="auto"/>
        <w:left w:val="none" w:sz="0" w:space="0" w:color="auto"/>
        <w:bottom w:val="none" w:sz="0" w:space="0" w:color="auto"/>
        <w:right w:val="none" w:sz="0" w:space="0" w:color="auto"/>
      </w:divBdr>
    </w:div>
    <w:div w:id="1128161103">
      <w:bodyDiv w:val="1"/>
      <w:marLeft w:val="0"/>
      <w:marRight w:val="0"/>
      <w:marTop w:val="0"/>
      <w:marBottom w:val="0"/>
      <w:divBdr>
        <w:top w:val="none" w:sz="0" w:space="0" w:color="auto"/>
        <w:left w:val="none" w:sz="0" w:space="0" w:color="auto"/>
        <w:bottom w:val="none" w:sz="0" w:space="0" w:color="auto"/>
        <w:right w:val="none" w:sz="0" w:space="0" w:color="auto"/>
      </w:divBdr>
    </w:div>
    <w:div w:id="1130706783">
      <w:bodyDiv w:val="1"/>
      <w:marLeft w:val="0"/>
      <w:marRight w:val="0"/>
      <w:marTop w:val="0"/>
      <w:marBottom w:val="0"/>
      <w:divBdr>
        <w:top w:val="none" w:sz="0" w:space="0" w:color="auto"/>
        <w:left w:val="none" w:sz="0" w:space="0" w:color="auto"/>
        <w:bottom w:val="none" w:sz="0" w:space="0" w:color="auto"/>
        <w:right w:val="none" w:sz="0" w:space="0" w:color="auto"/>
      </w:divBdr>
    </w:div>
    <w:div w:id="1140221004">
      <w:bodyDiv w:val="1"/>
      <w:marLeft w:val="0"/>
      <w:marRight w:val="0"/>
      <w:marTop w:val="0"/>
      <w:marBottom w:val="0"/>
      <w:divBdr>
        <w:top w:val="none" w:sz="0" w:space="0" w:color="auto"/>
        <w:left w:val="none" w:sz="0" w:space="0" w:color="auto"/>
        <w:bottom w:val="none" w:sz="0" w:space="0" w:color="auto"/>
        <w:right w:val="none" w:sz="0" w:space="0" w:color="auto"/>
      </w:divBdr>
    </w:div>
    <w:div w:id="1141266144">
      <w:bodyDiv w:val="1"/>
      <w:marLeft w:val="0"/>
      <w:marRight w:val="0"/>
      <w:marTop w:val="0"/>
      <w:marBottom w:val="0"/>
      <w:divBdr>
        <w:top w:val="none" w:sz="0" w:space="0" w:color="auto"/>
        <w:left w:val="none" w:sz="0" w:space="0" w:color="auto"/>
        <w:bottom w:val="none" w:sz="0" w:space="0" w:color="auto"/>
        <w:right w:val="none" w:sz="0" w:space="0" w:color="auto"/>
      </w:divBdr>
    </w:div>
    <w:div w:id="1146583884">
      <w:bodyDiv w:val="1"/>
      <w:marLeft w:val="0"/>
      <w:marRight w:val="0"/>
      <w:marTop w:val="0"/>
      <w:marBottom w:val="0"/>
      <w:divBdr>
        <w:top w:val="none" w:sz="0" w:space="0" w:color="auto"/>
        <w:left w:val="none" w:sz="0" w:space="0" w:color="auto"/>
        <w:bottom w:val="none" w:sz="0" w:space="0" w:color="auto"/>
        <w:right w:val="none" w:sz="0" w:space="0" w:color="auto"/>
      </w:divBdr>
    </w:div>
    <w:div w:id="1178695196">
      <w:bodyDiv w:val="1"/>
      <w:marLeft w:val="0"/>
      <w:marRight w:val="0"/>
      <w:marTop w:val="0"/>
      <w:marBottom w:val="0"/>
      <w:divBdr>
        <w:top w:val="none" w:sz="0" w:space="0" w:color="auto"/>
        <w:left w:val="none" w:sz="0" w:space="0" w:color="auto"/>
        <w:bottom w:val="none" w:sz="0" w:space="0" w:color="auto"/>
        <w:right w:val="none" w:sz="0" w:space="0" w:color="auto"/>
      </w:divBdr>
    </w:div>
    <w:div w:id="1180698430">
      <w:bodyDiv w:val="1"/>
      <w:marLeft w:val="0"/>
      <w:marRight w:val="0"/>
      <w:marTop w:val="0"/>
      <w:marBottom w:val="0"/>
      <w:divBdr>
        <w:top w:val="none" w:sz="0" w:space="0" w:color="auto"/>
        <w:left w:val="none" w:sz="0" w:space="0" w:color="auto"/>
        <w:bottom w:val="none" w:sz="0" w:space="0" w:color="auto"/>
        <w:right w:val="none" w:sz="0" w:space="0" w:color="auto"/>
      </w:divBdr>
    </w:div>
    <w:div w:id="1186359435">
      <w:bodyDiv w:val="1"/>
      <w:marLeft w:val="0"/>
      <w:marRight w:val="0"/>
      <w:marTop w:val="0"/>
      <w:marBottom w:val="0"/>
      <w:divBdr>
        <w:top w:val="none" w:sz="0" w:space="0" w:color="auto"/>
        <w:left w:val="none" w:sz="0" w:space="0" w:color="auto"/>
        <w:bottom w:val="none" w:sz="0" w:space="0" w:color="auto"/>
        <w:right w:val="none" w:sz="0" w:space="0" w:color="auto"/>
      </w:divBdr>
    </w:div>
    <w:div w:id="1188174500">
      <w:bodyDiv w:val="1"/>
      <w:marLeft w:val="0"/>
      <w:marRight w:val="0"/>
      <w:marTop w:val="0"/>
      <w:marBottom w:val="0"/>
      <w:divBdr>
        <w:top w:val="none" w:sz="0" w:space="0" w:color="auto"/>
        <w:left w:val="none" w:sz="0" w:space="0" w:color="auto"/>
        <w:bottom w:val="none" w:sz="0" w:space="0" w:color="auto"/>
        <w:right w:val="none" w:sz="0" w:space="0" w:color="auto"/>
      </w:divBdr>
    </w:div>
    <w:div w:id="1195994312">
      <w:bodyDiv w:val="1"/>
      <w:marLeft w:val="0"/>
      <w:marRight w:val="0"/>
      <w:marTop w:val="0"/>
      <w:marBottom w:val="0"/>
      <w:divBdr>
        <w:top w:val="none" w:sz="0" w:space="0" w:color="auto"/>
        <w:left w:val="none" w:sz="0" w:space="0" w:color="auto"/>
        <w:bottom w:val="none" w:sz="0" w:space="0" w:color="auto"/>
        <w:right w:val="none" w:sz="0" w:space="0" w:color="auto"/>
      </w:divBdr>
    </w:div>
    <w:div w:id="1204556329">
      <w:bodyDiv w:val="1"/>
      <w:marLeft w:val="0"/>
      <w:marRight w:val="0"/>
      <w:marTop w:val="0"/>
      <w:marBottom w:val="0"/>
      <w:divBdr>
        <w:top w:val="none" w:sz="0" w:space="0" w:color="auto"/>
        <w:left w:val="none" w:sz="0" w:space="0" w:color="auto"/>
        <w:bottom w:val="none" w:sz="0" w:space="0" w:color="auto"/>
        <w:right w:val="none" w:sz="0" w:space="0" w:color="auto"/>
      </w:divBdr>
    </w:div>
    <w:div w:id="1229920118">
      <w:bodyDiv w:val="1"/>
      <w:marLeft w:val="0"/>
      <w:marRight w:val="0"/>
      <w:marTop w:val="0"/>
      <w:marBottom w:val="0"/>
      <w:divBdr>
        <w:top w:val="none" w:sz="0" w:space="0" w:color="auto"/>
        <w:left w:val="none" w:sz="0" w:space="0" w:color="auto"/>
        <w:bottom w:val="none" w:sz="0" w:space="0" w:color="auto"/>
        <w:right w:val="none" w:sz="0" w:space="0" w:color="auto"/>
      </w:divBdr>
    </w:div>
    <w:div w:id="1232304181">
      <w:bodyDiv w:val="1"/>
      <w:marLeft w:val="0"/>
      <w:marRight w:val="0"/>
      <w:marTop w:val="0"/>
      <w:marBottom w:val="0"/>
      <w:divBdr>
        <w:top w:val="none" w:sz="0" w:space="0" w:color="auto"/>
        <w:left w:val="none" w:sz="0" w:space="0" w:color="auto"/>
        <w:bottom w:val="none" w:sz="0" w:space="0" w:color="auto"/>
        <w:right w:val="none" w:sz="0" w:space="0" w:color="auto"/>
      </w:divBdr>
    </w:div>
    <w:div w:id="1234120829">
      <w:bodyDiv w:val="1"/>
      <w:marLeft w:val="0"/>
      <w:marRight w:val="0"/>
      <w:marTop w:val="0"/>
      <w:marBottom w:val="0"/>
      <w:divBdr>
        <w:top w:val="none" w:sz="0" w:space="0" w:color="auto"/>
        <w:left w:val="none" w:sz="0" w:space="0" w:color="auto"/>
        <w:bottom w:val="none" w:sz="0" w:space="0" w:color="auto"/>
        <w:right w:val="none" w:sz="0" w:space="0" w:color="auto"/>
      </w:divBdr>
    </w:div>
    <w:div w:id="1238323895">
      <w:bodyDiv w:val="1"/>
      <w:marLeft w:val="0"/>
      <w:marRight w:val="0"/>
      <w:marTop w:val="0"/>
      <w:marBottom w:val="0"/>
      <w:divBdr>
        <w:top w:val="none" w:sz="0" w:space="0" w:color="auto"/>
        <w:left w:val="none" w:sz="0" w:space="0" w:color="auto"/>
        <w:bottom w:val="none" w:sz="0" w:space="0" w:color="auto"/>
        <w:right w:val="none" w:sz="0" w:space="0" w:color="auto"/>
      </w:divBdr>
    </w:div>
    <w:div w:id="1243374208">
      <w:bodyDiv w:val="1"/>
      <w:marLeft w:val="0"/>
      <w:marRight w:val="0"/>
      <w:marTop w:val="0"/>
      <w:marBottom w:val="0"/>
      <w:divBdr>
        <w:top w:val="none" w:sz="0" w:space="0" w:color="auto"/>
        <w:left w:val="none" w:sz="0" w:space="0" w:color="auto"/>
        <w:bottom w:val="none" w:sz="0" w:space="0" w:color="auto"/>
        <w:right w:val="none" w:sz="0" w:space="0" w:color="auto"/>
      </w:divBdr>
    </w:div>
    <w:div w:id="1243878523">
      <w:bodyDiv w:val="1"/>
      <w:marLeft w:val="0"/>
      <w:marRight w:val="0"/>
      <w:marTop w:val="0"/>
      <w:marBottom w:val="0"/>
      <w:divBdr>
        <w:top w:val="none" w:sz="0" w:space="0" w:color="auto"/>
        <w:left w:val="none" w:sz="0" w:space="0" w:color="auto"/>
        <w:bottom w:val="none" w:sz="0" w:space="0" w:color="auto"/>
        <w:right w:val="none" w:sz="0" w:space="0" w:color="auto"/>
      </w:divBdr>
    </w:div>
    <w:div w:id="1259480870">
      <w:bodyDiv w:val="1"/>
      <w:marLeft w:val="0"/>
      <w:marRight w:val="0"/>
      <w:marTop w:val="0"/>
      <w:marBottom w:val="0"/>
      <w:divBdr>
        <w:top w:val="none" w:sz="0" w:space="0" w:color="auto"/>
        <w:left w:val="none" w:sz="0" w:space="0" w:color="auto"/>
        <w:bottom w:val="none" w:sz="0" w:space="0" w:color="auto"/>
        <w:right w:val="none" w:sz="0" w:space="0" w:color="auto"/>
      </w:divBdr>
    </w:div>
    <w:div w:id="1260527500">
      <w:bodyDiv w:val="1"/>
      <w:marLeft w:val="0"/>
      <w:marRight w:val="0"/>
      <w:marTop w:val="0"/>
      <w:marBottom w:val="0"/>
      <w:divBdr>
        <w:top w:val="none" w:sz="0" w:space="0" w:color="auto"/>
        <w:left w:val="none" w:sz="0" w:space="0" w:color="auto"/>
        <w:bottom w:val="none" w:sz="0" w:space="0" w:color="auto"/>
        <w:right w:val="none" w:sz="0" w:space="0" w:color="auto"/>
      </w:divBdr>
    </w:div>
    <w:div w:id="1275745445">
      <w:bodyDiv w:val="1"/>
      <w:marLeft w:val="0"/>
      <w:marRight w:val="0"/>
      <w:marTop w:val="0"/>
      <w:marBottom w:val="0"/>
      <w:divBdr>
        <w:top w:val="none" w:sz="0" w:space="0" w:color="auto"/>
        <w:left w:val="none" w:sz="0" w:space="0" w:color="auto"/>
        <w:bottom w:val="none" w:sz="0" w:space="0" w:color="auto"/>
        <w:right w:val="none" w:sz="0" w:space="0" w:color="auto"/>
      </w:divBdr>
    </w:div>
    <w:div w:id="1278024385">
      <w:bodyDiv w:val="1"/>
      <w:marLeft w:val="0"/>
      <w:marRight w:val="0"/>
      <w:marTop w:val="0"/>
      <w:marBottom w:val="0"/>
      <w:divBdr>
        <w:top w:val="none" w:sz="0" w:space="0" w:color="auto"/>
        <w:left w:val="none" w:sz="0" w:space="0" w:color="auto"/>
        <w:bottom w:val="none" w:sz="0" w:space="0" w:color="auto"/>
        <w:right w:val="none" w:sz="0" w:space="0" w:color="auto"/>
      </w:divBdr>
    </w:div>
    <w:div w:id="1279946034">
      <w:bodyDiv w:val="1"/>
      <w:marLeft w:val="0"/>
      <w:marRight w:val="0"/>
      <w:marTop w:val="0"/>
      <w:marBottom w:val="0"/>
      <w:divBdr>
        <w:top w:val="none" w:sz="0" w:space="0" w:color="auto"/>
        <w:left w:val="none" w:sz="0" w:space="0" w:color="auto"/>
        <w:bottom w:val="none" w:sz="0" w:space="0" w:color="auto"/>
        <w:right w:val="none" w:sz="0" w:space="0" w:color="auto"/>
      </w:divBdr>
    </w:div>
    <w:div w:id="1280066107">
      <w:bodyDiv w:val="1"/>
      <w:marLeft w:val="0"/>
      <w:marRight w:val="0"/>
      <w:marTop w:val="0"/>
      <w:marBottom w:val="0"/>
      <w:divBdr>
        <w:top w:val="none" w:sz="0" w:space="0" w:color="auto"/>
        <w:left w:val="none" w:sz="0" w:space="0" w:color="auto"/>
        <w:bottom w:val="none" w:sz="0" w:space="0" w:color="auto"/>
        <w:right w:val="none" w:sz="0" w:space="0" w:color="auto"/>
      </w:divBdr>
    </w:div>
    <w:div w:id="1308361234">
      <w:bodyDiv w:val="1"/>
      <w:marLeft w:val="0"/>
      <w:marRight w:val="0"/>
      <w:marTop w:val="0"/>
      <w:marBottom w:val="0"/>
      <w:divBdr>
        <w:top w:val="none" w:sz="0" w:space="0" w:color="auto"/>
        <w:left w:val="none" w:sz="0" w:space="0" w:color="auto"/>
        <w:bottom w:val="none" w:sz="0" w:space="0" w:color="auto"/>
        <w:right w:val="none" w:sz="0" w:space="0" w:color="auto"/>
      </w:divBdr>
    </w:div>
    <w:div w:id="1351374938">
      <w:bodyDiv w:val="1"/>
      <w:marLeft w:val="0"/>
      <w:marRight w:val="0"/>
      <w:marTop w:val="0"/>
      <w:marBottom w:val="0"/>
      <w:divBdr>
        <w:top w:val="none" w:sz="0" w:space="0" w:color="auto"/>
        <w:left w:val="none" w:sz="0" w:space="0" w:color="auto"/>
        <w:bottom w:val="none" w:sz="0" w:space="0" w:color="auto"/>
        <w:right w:val="none" w:sz="0" w:space="0" w:color="auto"/>
      </w:divBdr>
    </w:div>
    <w:div w:id="1353721480">
      <w:bodyDiv w:val="1"/>
      <w:marLeft w:val="0"/>
      <w:marRight w:val="0"/>
      <w:marTop w:val="0"/>
      <w:marBottom w:val="0"/>
      <w:divBdr>
        <w:top w:val="none" w:sz="0" w:space="0" w:color="auto"/>
        <w:left w:val="none" w:sz="0" w:space="0" w:color="auto"/>
        <w:bottom w:val="none" w:sz="0" w:space="0" w:color="auto"/>
        <w:right w:val="none" w:sz="0" w:space="0" w:color="auto"/>
      </w:divBdr>
    </w:div>
    <w:div w:id="1356808810">
      <w:bodyDiv w:val="1"/>
      <w:marLeft w:val="0"/>
      <w:marRight w:val="0"/>
      <w:marTop w:val="0"/>
      <w:marBottom w:val="0"/>
      <w:divBdr>
        <w:top w:val="none" w:sz="0" w:space="0" w:color="auto"/>
        <w:left w:val="none" w:sz="0" w:space="0" w:color="auto"/>
        <w:bottom w:val="none" w:sz="0" w:space="0" w:color="auto"/>
        <w:right w:val="none" w:sz="0" w:space="0" w:color="auto"/>
      </w:divBdr>
    </w:div>
    <w:div w:id="1357923333">
      <w:bodyDiv w:val="1"/>
      <w:marLeft w:val="0"/>
      <w:marRight w:val="0"/>
      <w:marTop w:val="0"/>
      <w:marBottom w:val="0"/>
      <w:divBdr>
        <w:top w:val="none" w:sz="0" w:space="0" w:color="auto"/>
        <w:left w:val="none" w:sz="0" w:space="0" w:color="auto"/>
        <w:bottom w:val="none" w:sz="0" w:space="0" w:color="auto"/>
        <w:right w:val="none" w:sz="0" w:space="0" w:color="auto"/>
      </w:divBdr>
    </w:div>
    <w:div w:id="1379356340">
      <w:bodyDiv w:val="1"/>
      <w:marLeft w:val="0"/>
      <w:marRight w:val="0"/>
      <w:marTop w:val="0"/>
      <w:marBottom w:val="0"/>
      <w:divBdr>
        <w:top w:val="none" w:sz="0" w:space="0" w:color="auto"/>
        <w:left w:val="none" w:sz="0" w:space="0" w:color="auto"/>
        <w:bottom w:val="none" w:sz="0" w:space="0" w:color="auto"/>
        <w:right w:val="none" w:sz="0" w:space="0" w:color="auto"/>
      </w:divBdr>
    </w:div>
    <w:div w:id="1394281419">
      <w:bodyDiv w:val="1"/>
      <w:marLeft w:val="0"/>
      <w:marRight w:val="0"/>
      <w:marTop w:val="0"/>
      <w:marBottom w:val="0"/>
      <w:divBdr>
        <w:top w:val="none" w:sz="0" w:space="0" w:color="auto"/>
        <w:left w:val="none" w:sz="0" w:space="0" w:color="auto"/>
        <w:bottom w:val="none" w:sz="0" w:space="0" w:color="auto"/>
        <w:right w:val="none" w:sz="0" w:space="0" w:color="auto"/>
      </w:divBdr>
    </w:div>
    <w:div w:id="1396783916">
      <w:bodyDiv w:val="1"/>
      <w:marLeft w:val="0"/>
      <w:marRight w:val="0"/>
      <w:marTop w:val="0"/>
      <w:marBottom w:val="0"/>
      <w:divBdr>
        <w:top w:val="none" w:sz="0" w:space="0" w:color="auto"/>
        <w:left w:val="none" w:sz="0" w:space="0" w:color="auto"/>
        <w:bottom w:val="none" w:sz="0" w:space="0" w:color="auto"/>
        <w:right w:val="none" w:sz="0" w:space="0" w:color="auto"/>
      </w:divBdr>
    </w:div>
    <w:div w:id="1397430488">
      <w:bodyDiv w:val="1"/>
      <w:marLeft w:val="0"/>
      <w:marRight w:val="0"/>
      <w:marTop w:val="0"/>
      <w:marBottom w:val="0"/>
      <w:divBdr>
        <w:top w:val="none" w:sz="0" w:space="0" w:color="auto"/>
        <w:left w:val="none" w:sz="0" w:space="0" w:color="auto"/>
        <w:bottom w:val="none" w:sz="0" w:space="0" w:color="auto"/>
        <w:right w:val="none" w:sz="0" w:space="0" w:color="auto"/>
      </w:divBdr>
    </w:div>
    <w:div w:id="1400980147">
      <w:bodyDiv w:val="1"/>
      <w:marLeft w:val="0"/>
      <w:marRight w:val="0"/>
      <w:marTop w:val="0"/>
      <w:marBottom w:val="0"/>
      <w:divBdr>
        <w:top w:val="none" w:sz="0" w:space="0" w:color="auto"/>
        <w:left w:val="none" w:sz="0" w:space="0" w:color="auto"/>
        <w:bottom w:val="none" w:sz="0" w:space="0" w:color="auto"/>
        <w:right w:val="none" w:sz="0" w:space="0" w:color="auto"/>
      </w:divBdr>
    </w:div>
    <w:div w:id="1403917286">
      <w:bodyDiv w:val="1"/>
      <w:marLeft w:val="0"/>
      <w:marRight w:val="0"/>
      <w:marTop w:val="0"/>
      <w:marBottom w:val="0"/>
      <w:divBdr>
        <w:top w:val="none" w:sz="0" w:space="0" w:color="auto"/>
        <w:left w:val="none" w:sz="0" w:space="0" w:color="auto"/>
        <w:bottom w:val="none" w:sz="0" w:space="0" w:color="auto"/>
        <w:right w:val="none" w:sz="0" w:space="0" w:color="auto"/>
      </w:divBdr>
    </w:div>
    <w:div w:id="1432044959">
      <w:bodyDiv w:val="1"/>
      <w:marLeft w:val="0"/>
      <w:marRight w:val="0"/>
      <w:marTop w:val="0"/>
      <w:marBottom w:val="0"/>
      <w:divBdr>
        <w:top w:val="none" w:sz="0" w:space="0" w:color="auto"/>
        <w:left w:val="none" w:sz="0" w:space="0" w:color="auto"/>
        <w:bottom w:val="none" w:sz="0" w:space="0" w:color="auto"/>
        <w:right w:val="none" w:sz="0" w:space="0" w:color="auto"/>
      </w:divBdr>
    </w:div>
    <w:div w:id="1433938271">
      <w:bodyDiv w:val="1"/>
      <w:marLeft w:val="0"/>
      <w:marRight w:val="0"/>
      <w:marTop w:val="0"/>
      <w:marBottom w:val="0"/>
      <w:divBdr>
        <w:top w:val="none" w:sz="0" w:space="0" w:color="auto"/>
        <w:left w:val="none" w:sz="0" w:space="0" w:color="auto"/>
        <w:bottom w:val="none" w:sz="0" w:space="0" w:color="auto"/>
        <w:right w:val="none" w:sz="0" w:space="0" w:color="auto"/>
      </w:divBdr>
    </w:div>
    <w:div w:id="1436511387">
      <w:bodyDiv w:val="1"/>
      <w:marLeft w:val="0"/>
      <w:marRight w:val="0"/>
      <w:marTop w:val="0"/>
      <w:marBottom w:val="0"/>
      <w:divBdr>
        <w:top w:val="none" w:sz="0" w:space="0" w:color="auto"/>
        <w:left w:val="none" w:sz="0" w:space="0" w:color="auto"/>
        <w:bottom w:val="none" w:sz="0" w:space="0" w:color="auto"/>
        <w:right w:val="none" w:sz="0" w:space="0" w:color="auto"/>
      </w:divBdr>
    </w:div>
    <w:div w:id="1439791125">
      <w:bodyDiv w:val="1"/>
      <w:marLeft w:val="0"/>
      <w:marRight w:val="0"/>
      <w:marTop w:val="0"/>
      <w:marBottom w:val="0"/>
      <w:divBdr>
        <w:top w:val="none" w:sz="0" w:space="0" w:color="auto"/>
        <w:left w:val="none" w:sz="0" w:space="0" w:color="auto"/>
        <w:bottom w:val="none" w:sz="0" w:space="0" w:color="auto"/>
        <w:right w:val="none" w:sz="0" w:space="0" w:color="auto"/>
      </w:divBdr>
    </w:div>
    <w:div w:id="1444574143">
      <w:bodyDiv w:val="1"/>
      <w:marLeft w:val="0"/>
      <w:marRight w:val="0"/>
      <w:marTop w:val="0"/>
      <w:marBottom w:val="0"/>
      <w:divBdr>
        <w:top w:val="none" w:sz="0" w:space="0" w:color="auto"/>
        <w:left w:val="none" w:sz="0" w:space="0" w:color="auto"/>
        <w:bottom w:val="none" w:sz="0" w:space="0" w:color="auto"/>
        <w:right w:val="none" w:sz="0" w:space="0" w:color="auto"/>
      </w:divBdr>
    </w:div>
    <w:div w:id="1449816473">
      <w:bodyDiv w:val="1"/>
      <w:marLeft w:val="0"/>
      <w:marRight w:val="0"/>
      <w:marTop w:val="0"/>
      <w:marBottom w:val="0"/>
      <w:divBdr>
        <w:top w:val="none" w:sz="0" w:space="0" w:color="auto"/>
        <w:left w:val="none" w:sz="0" w:space="0" w:color="auto"/>
        <w:bottom w:val="none" w:sz="0" w:space="0" w:color="auto"/>
        <w:right w:val="none" w:sz="0" w:space="0" w:color="auto"/>
      </w:divBdr>
    </w:div>
    <w:div w:id="1453789878">
      <w:bodyDiv w:val="1"/>
      <w:marLeft w:val="0"/>
      <w:marRight w:val="0"/>
      <w:marTop w:val="0"/>
      <w:marBottom w:val="0"/>
      <w:divBdr>
        <w:top w:val="none" w:sz="0" w:space="0" w:color="auto"/>
        <w:left w:val="none" w:sz="0" w:space="0" w:color="auto"/>
        <w:bottom w:val="none" w:sz="0" w:space="0" w:color="auto"/>
        <w:right w:val="none" w:sz="0" w:space="0" w:color="auto"/>
      </w:divBdr>
    </w:div>
    <w:div w:id="1454669536">
      <w:bodyDiv w:val="1"/>
      <w:marLeft w:val="0"/>
      <w:marRight w:val="0"/>
      <w:marTop w:val="0"/>
      <w:marBottom w:val="0"/>
      <w:divBdr>
        <w:top w:val="none" w:sz="0" w:space="0" w:color="auto"/>
        <w:left w:val="none" w:sz="0" w:space="0" w:color="auto"/>
        <w:bottom w:val="none" w:sz="0" w:space="0" w:color="auto"/>
        <w:right w:val="none" w:sz="0" w:space="0" w:color="auto"/>
      </w:divBdr>
    </w:div>
    <w:div w:id="1457681909">
      <w:bodyDiv w:val="1"/>
      <w:marLeft w:val="0"/>
      <w:marRight w:val="0"/>
      <w:marTop w:val="0"/>
      <w:marBottom w:val="0"/>
      <w:divBdr>
        <w:top w:val="none" w:sz="0" w:space="0" w:color="auto"/>
        <w:left w:val="none" w:sz="0" w:space="0" w:color="auto"/>
        <w:bottom w:val="none" w:sz="0" w:space="0" w:color="auto"/>
        <w:right w:val="none" w:sz="0" w:space="0" w:color="auto"/>
      </w:divBdr>
    </w:div>
    <w:div w:id="1457872422">
      <w:bodyDiv w:val="1"/>
      <w:marLeft w:val="0"/>
      <w:marRight w:val="0"/>
      <w:marTop w:val="0"/>
      <w:marBottom w:val="0"/>
      <w:divBdr>
        <w:top w:val="none" w:sz="0" w:space="0" w:color="auto"/>
        <w:left w:val="none" w:sz="0" w:space="0" w:color="auto"/>
        <w:bottom w:val="none" w:sz="0" w:space="0" w:color="auto"/>
        <w:right w:val="none" w:sz="0" w:space="0" w:color="auto"/>
      </w:divBdr>
    </w:div>
    <w:div w:id="1459181444">
      <w:bodyDiv w:val="1"/>
      <w:marLeft w:val="0"/>
      <w:marRight w:val="0"/>
      <w:marTop w:val="0"/>
      <w:marBottom w:val="0"/>
      <w:divBdr>
        <w:top w:val="none" w:sz="0" w:space="0" w:color="auto"/>
        <w:left w:val="none" w:sz="0" w:space="0" w:color="auto"/>
        <w:bottom w:val="none" w:sz="0" w:space="0" w:color="auto"/>
        <w:right w:val="none" w:sz="0" w:space="0" w:color="auto"/>
      </w:divBdr>
    </w:div>
    <w:div w:id="1462991315">
      <w:bodyDiv w:val="1"/>
      <w:marLeft w:val="0"/>
      <w:marRight w:val="0"/>
      <w:marTop w:val="0"/>
      <w:marBottom w:val="0"/>
      <w:divBdr>
        <w:top w:val="none" w:sz="0" w:space="0" w:color="auto"/>
        <w:left w:val="none" w:sz="0" w:space="0" w:color="auto"/>
        <w:bottom w:val="none" w:sz="0" w:space="0" w:color="auto"/>
        <w:right w:val="none" w:sz="0" w:space="0" w:color="auto"/>
      </w:divBdr>
    </w:div>
    <w:div w:id="1465075739">
      <w:bodyDiv w:val="1"/>
      <w:marLeft w:val="0"/>
      <w:marRight w:val="0"/>
      <w:marTop w:val="0"/>
      <w:marBottom w:val="0"/>
      <w:divBdr>
        <w:top w:val="none" w:sz="0" w:space="0" w:color="auto"/>
        <w:left w:val="none" w:sz="0" w:space="0" w:color="auto"/>
        <w:bottom w:val="none" w:sz="0" w:space="0" w:color="auto"/>
        <w:right w:val="none" w:sz="0" w:space="0" w:color="auto"/>
      </w:divBdr>
    </w:div>
    <w:div w:id="1472289485">
      <w:bodyDiv w:val="1"/>
      <w:marLeft w:val="0"/>
      <w:marRight w:val="0"/>
      <w:marTop w:val="0"/>
      <w:marBottom w:val="0"/>
      <w:divBdr>
        <w:top w:val="none" w:sz="0" w:space="0" w:color="auto"/>
        <w:left w:val="none" w:sz="0" w:space="0" w:color="auto"/>
        <w:bottom w:val="none" w:sz="0" w:space="0" w:color="auto"/>
        <w:right w:val="none" w:sz="0" w:space="0" w:color="auto"/>
      </w:divBdr>
    </w:div>
    <w:div w:id="1479419351">
      <w:bodyDiv w:val="1"/>
      <w:marLeft w:val="0"/>
      <w:marRight w:val="0"/>
      <w:marTop w:val="0"/>
      <w:marBottom w:val="0"/>
      <w:divBdr>
        <w:top w:val="none" w:sz="0" w:space="0" w:color="auto"/>
        <w:left w:val="none" w:sz="0" w:space="0" w:color="auto"/>
        <w:bottom w:val="none" w:sz="0" w:space="0" w:color="auto"/>
        <w:right w:val="none" w:sz="0" w:space="0" w:color="auto"/>
      </w:divBdr>
    </w:div>
    <w:div w:id="1481386865">
      <w:bodyDiv w:val="1"/>
      <w:marLeft w:val="0"/>
      <w:marRight w:val="0"/>
      <w:marTop w:val="0"/>
      <w:marBottom w:val="0"/>
      <w:divBdr>
        <w:top w:val="none" w:sz="0" w:space="0" w:color="auto"/>
        <w:left w:val="none" w:sz="0" w:space="0" w:color="auto"/>
        <w:bottom w:val="none" w:sz="0" w:space="0" w:color="auto"/>
        <w:right w:val="none" w:sz="0" w:space="0" w:color="auto"/>
      </w:divBdr>
    </w:div>
    <w:div w:id="1504976903">
      <w:bodyDiv w:val="1"/>
      <w:marLeft w:val="0"/>
      <w:marRight w:val="0"/>
      <w:marTop w:val="0"/>
      <w:marBottom w:val="0"/>
      <w:divBdr>
        <w:top w:val="none" w:sz="0" w:space="0" w:color="auto"/>
        <w:left w:val="none" w:sz="0" w:space="0" w:color="auto"/>
        <w:bottom w:val="none" w:sz="0" w:space="0" w:color="auto"/>
        <w:right w:val="none" w:sz="0" w:space="0" w:color="auto"/>
      </w:divBdr>
    </w:div>
    <w:div w:id="1507283445">
      <w:bodyDiv w:val="1"/>
      <w:marLeft w:val="0"/>
      <w:marRight w:val="0"/>
      <w:marTop w:val="0"/>
      <w:marBottom w:val="0"/>
      <w:divBdr>
        <w:top w:val="none" w:sz="0" w:space="0" w:color="auto"/>
        <w:left w:val="none" w:sz="0" w:space="0" w:color="auto"/>
        <w:bottom w:val="none" w:sz="0" w:space="0" w:color="auto"/>
        <w:right w:val="none" w:sz="0" w:space="0" w:color="auto"/>
      </w:divBdr>
    </w:div>
    <w:div w:id="1510025774">
      <w:bodyDiv w:val="1"/>
      <w:marLeft w:val="0"/>
      <w:marRight w:val="0"/>
      <w:marTop w:val="0"/>
      <w:marBottom w:val="0"/>
      <w:divBdr>
        <w:top w:val="none" w:sz="0" w:space="0" w:color="auto"/>
        <w:left w:val="none" w:sz="0" w:space="0" w:color="auto"/>
        <w:bottom w:val="none" w:sz="0" w:space="0" w:color="auto"/>
        <w:right w:val="none" w:sz="0" w:space="0" w:color="auto"/>
      </w:divBdr>
    </w:div>
    <w:div w:id="1518615711">
      <w:bodyDiv w:val="1"/>
      <w:marLeft w:val="0"/>
      <w:marRight w:val="0"/>
      <w:marTop w:val="0"/>
      <w:marBottom w:val="0"/>
      <w:divBdr>
        <w:top w:val="none" w:sz="0" w:space="0" w:color="auto"/>
        <w:left w:val="none" w:sz="0" w:space="0" w:color="auto"/>
        <w:bottom w:val="none" w:sz="0" w:space="0" w:color="auto"/>
        <w:right w:val="none" w:sz="0" w:space="0" w:color="auto"/>
      </w:divBdr>
    </w:div>
    <w:div w:id="1518736802">
      <w:bodyDiv w:val="1"/>
      <w:marLeft w:val="0"/>
      <w:marRight w:val="0"/>
      <w:marTop w:val="0"/>
      <w:marBottom w:val="0"/>
      <w:divBdr>
        <w:top w:val="none" w:sz="0" w:space="0" w:color="auto"/>
        <w:left w:val="none" w:sz="0" w:space="0" w:color="auto"/>
        <w:bottom w:val="none" w:sz="0" w:space="0" w:color="auto"/>
        <w:right w:val="none" w:sz="0" w:space="0" w:color="auto"/>
      </w:divBdr>
    </w:div>
    <w:div w:id="1529832750">
      <w:bodyDiv w:val="1"/>
      <w:marLeft w:val="0"/>
      <w:marRight w:val="0"/>
      <w:marTop w:val="0"/>
      <w:marBottom w:val="0"/>
      <w:divBdr>
        <w:top w:val="none" w:sz="0" w:space="0" w:color="auto"/>
        <w:left w:val="none" w:sz="0" w:space="0" w:color="auto"/>
        <w:bottom w:val="none" w:sz="0" w:space="0" w:color="auto"/>
        <w:right w:val="none" w:sz="0" w:space="0" w:color="auto"/>
      </w:divBdr>
    </w:div>
    <w:div w:id="1530219754">
      <w:bodyDiv w:val="1"/>
      <w:marLeft w:val="0"/>
      <w:marRight w:val="0"/>
      <w:marTop w:val="0"/>
      <w:marBottom w:val="0"/>
      <w:divBdr>
        <w:top w:val="none" w:sz="0" w:space="0" w:color="auto"/>
        <w:left w:val="none" w:sz="0" w:space="0" w:color="auto"/>
        <w:bottom w:val="none" w:sz="0" w:space="0" w:color="auto"/>
        <w:right w:val="none" w:sz="0" w:space="0" w:color="auto"/>
      </w:divBdr>
    </w:div>
    <w:div w:id="1541282836">
      <w:bodyDiv w:val="1"/>
      <w:marLeft w:val="0"/>
      <w:marRight w:val="0"/>
      <w:marTop w:val="0"/>
      <w:marBottom w:val="0"/>
      <w:divBdr>
        <w:top w:val="none" w:sz="0" w:space="0" w:color="auto"/>
        <w:left w:val="none" w:sz="0" w:space="0" w:color="auto"/>
        <w:bottom w:val="none" w:sz="0" w:space="0" w:color="auto"/>
        <w:right w:val="none" w:sz="0" w:space="0" w:color="auto"/>
      </w:divBdr>
    </w:div>
    <w:div w:id="1541867125">
      <w:bodyDiv w:val="1"/>
      <w:marLeft w:val="0"/>
      <w:marRight w:val="0"/>
      <w:marTop w:val="0"/>
      <w:marBottom w:val="0"/>
      <w:divBdr>
        <w:top w:val="none" w:sz="0" w:space="0" w:color="auto"/>
        <w:left w:val="none" w:sz="0" w:space="0" w:color="auto"/>
        <w:bottom w:val="none" w:sz="0" w:space="0" w:color="auto"/>
        <w:right w:val="none" w:sz="0" w:space="0" w:color="auto"/>
      </w:divBdr>
      <w:divsChild>
        <w:div w:id="76171481">
          <w:marLeft w:val="374"/>
          <w:marRight w:val="0"/>
          <w:marTop w:val="0"/>
          <w:marBottom w:val="0"/>
          <w:divBdr>
            <w:top w:val="none" w:sz="0" w:space="0" w:color="auto"/>
            <w:left w:val="none" w:sz="0" w:space="0" w:color="auto"/>
            <w:bottom w:val="none" w:sz="0" w:space="0" w:color="auto"/>
            <w:right w:val="none" w:sz="0" w:space="0" w:color="auto"/>
          </w:divBdr>
        </w:div>
        <w:div w:id="252667678">
          <w:marLeft w:val="374"/>
          <w:marRight w:val="0"/>
          <w:marTop w:val="0"/>
          <w:marBottom w:val="0"/>
          <w:divBdr>
            <w:top w:val="none" w:sz="0" w:space="0" w:color="auto"/>
            <w:left w:val="none" w:sz="0" w:space="0" w:color="auto"/>
            <w:bottom w:val="none" w:sz="0" w:space="0" w:color="auto"/>
            <w:right w:val="none" w:sz="0" w:space="0" w:color="auto"/>
          </w:divBdr>
        </w:div>
        <w:div w:id="1008171242">
          <w:marLeft w:val="374"/>
          <w:marRight w:val="0"/>
          <w:marTop w:val="0"/>
          <w:marBottom w:val="0"/>
          <w:divBdr>
            <w:top w:val="none" w:sz="0" w:space="0" w:color="auto"/>
            <w:left w:val="none" w:sz="0" w:space="0" w:color="auto"/>
            <w:bottom w:val="none" w:sz="0" w:space="0" w:color="auto"/>
            <w:right w:val="none" w:sz="0" w:space="0" w:color="auto"/>
          </w:divBdr>
        </w:div>
        <w:div w:id="1206287551">
          <w:marLeft w:val="374"/>
          <w:marRight w:val="0"/>
          <w:marTop w:val="0"/>
          <w:marBottom w:val="0"/>
          <w:divBdr>
            <w:top w:val="none" w:sz="0" w:space="0" w:color="auto"/>
            <w:left w:val="none" w:sz="0" w:space="0" w:color="auto"/>
            <w:bottom w:val="none" w:sz="0" w:space="0" w:color="auto"/>
            <w:right w:val="none" w:sz="0" w:space="0" w:color="auto"/>
          </w:divBdr>
        </w:div>
        <w:div w:id="1301836591">
          <w:marLeft w:val="374"/>
          <w:marRight w:val="0"/>
          <w:marTop w:val="0"/>
          <w:marBottom w:val="0"/>
          <w:divBdr>
            <w:top w:val="none" w:sz="0" w:space="0" w:color="auto"/>
            <w:left w:val="none" w:sz="0" w:space="0" w:color="auto"/>
            <w:bottom w:val="none" w:sz="0" w:space="0" w:color="auto"/>
            <w:right w:val="none" w:sz="0" w:space="0" w:color="auto"/>
          </w:divBdr>
        </w:div>
        <w:div w:id="1460610226">
          <w:marLeft w:val="374"/>
          <w:marRight w:val="0"/>
          <w:marTop w:val="0"/>
          <w:marBottom w:val="0"/>
          <w:divBdr>
            <w:top w:val="none" w:sz="0" w:space="0" w:color="auto"/>
            <w:left w:val="none" w:sz="0" w:space="0" w:color="auto"/>
            <w:bottom w:val="none" w:sz="0" w:space="0" w:color="auto"/>
            <w:right w:val="none" w:sz="0" w:space="0" w:color="auto"/>
          </w:divBdr>
        </w:div>
      </w:divsChild>
    </w:div>
    <w:div w:id="1550416467">
      <w:bodyDiv w:val="1"/>
      <w:marLeft w:val="0"/>
      <w:marRight w:val="0"/>
      <w:marTop w:val="0"/>
      <w:marBottom w:val="0"/>
      <w:divBdr>
        <w:top w:val="none" w:sz="0" w:space="0" w:color="auto"/>
        <w:left w:val="none" w:sz="0" w:space="0" w:color="auto"/>
        <w:bottom w:val="none" w:sz="0" w:space="0" w:color="auto"/>
        <w:right w:val="none" w:sz="0" w:space="0" w:color="auto"/>
      </w:divBdr>
    </w:div>
    <w:div w:id="1581215455">
      <w:bodyDiv w:val="1"/>
      <w:marLeft w:val="0"/>
      <w:marRight w:val="0"/>
      <w:marTop w:val="0"/>
      <w:marBottom w:val="0"/>
      <w:divBdr>
        <w:top w:val="none" w:sz="0" w:space="0" w:color="auto"/>
        <w:left w:val="none" w:sz="0" w:space="0" w:color="auto"/>
        <w:bottom w:val="none" w:sz="0" w:space="0" w:color="auto"/>
        <w:right w:val="none" w:sz="0" w:space="0" w:color="auto"/>
      </w:divBdr>
      <w:divsChild>
        <w:div w:id="860237750">
          <w:marLeft w:val="0"/>
          <w:marRight w:val="0"/>
          <w:marTop w:val="192"/>
          <w:marBottom w:val="0"/>
          <w:divBdr>
            <w:top w:val="none" w:sz="0" w:space="0" w:color="auto"/>
            <w:left w:val="none" w:sz="0" w:space="0" w:color="auto"/>
            <w:bottom w:val="none" w:sz="0" w:space="0" w:color="auto"/>
            <w:right w:val="none" w:sz="0" w:space="0" w:color="auto"/>
          </w:divBdr>
        </w:div>
      </w:divsChild>
    </w:div>
    <w:div w:id="1593314991">
      <w:bodyDiv w:val="1"/>
      <w:marLeft w:val="0"/>
      <w:marRight w:val="0"/>
      <w:marTop w:val="0"/>
      <w:marBottom w:val="0"/>
      <w:divBdr>
        <w:top w:val="none" w:sz="0" w:space="0" w:color="auto"/>
        <w:left w:val="none" w:sz="0" w:space="0" w:color="auto"/>
        <w:bottom w:val="none" w:sz="0" w:space="0" w:color="auto"/>
        <w:right w:val="none" w:sz="0" w:space="0" w:color="auto"/>
      </w:divBdr>
    </w:div>
    <w:div w:id="1604725715">
      <w:bodyDiv w:val="1"/>
      <w:marLeft w:val="0"/>
      <w:marRight w:val="0"/>
      <w:marTop w:val="0"/>
      <w:marBottom w:val="0"/>
      <w:divBdr>
        <w:top w:val="none" w:sz="0" w:space="0" w:color="auto"/>
        <w:left w:val="none" w:sz="0" w:space="0" w:color="auto"/>
        <w:bottom w:val="none" w:sz="0" w:space="0" w:color="auto"/>
        <w:right w:val="none" w:sz="0" w:space="0" w:color="auto"/>
      </w:divBdr>
    </w:div>
    <w:div w:id="1615675686">
      <w:bodyDiv w:val="1"/>
      <w:marLeft w:val="0"/>
      <w:marRight w:val="0"/>
      <w:marTop w:val="0"/>
      <w:marBottom w:val="0"/>
      <w:divBdr>
        <w:top w:val="none" w:sz="0" w:space="0" w:color="auto"/>
        <w:left w:val="none" w:sz="0" w:space="0" w:color="auto"/>
        <w:bottom w:val="none" w:sz="0" w:space="0" w:color="auto"/>
        <w:right w:val="none" w:sz="0" w:space="0" w:color="auto"/>
      </w:divBdr>
    </w:div>
    <w:div w:id="1624656812">
      <w:bodyDiv w:val="1"/>
      <w:marLeft w:val="0"/>
      <w:marRight w:val="0"/>
      <w:marTop w:val="0"/>
      <w:marBottom w:val="0"/>
      <w:divBdr>
        <w:top w:val="none" w:sz="0" w:space="0" w:color="auto"/>
        <w:left w:val="none" w:sz="0" w:space="0" w:color="auto"/>
        <w:bottom w:val="none" w:sz="0" w:space="0" w:color="auto"/>
        <w:right w:val="none" w:sz="0" w:space="0" w:color="auto"/>
      </w:divBdr>
    </w:div>
    <w:div w:id="1642080802">
      <w:bodyDiv w:val="1"/>
      <w:marLeft w:val="0"/>
      <w:marRight w:val="0"/>
      <w:marTop w:val="0"/>
      <w:marBottom w:val="0"/>
      <w:divBdr>
        <w:top w:val="none" w:sz="0" w:space="0" w:color="auto"/>
        <w:left w:val="none" w:sz="0" w:space="0" w:color="auto"/>
        <w:bottom w:val="none" w:sz="0" w:space="0" w:color="auto"/>
        <w:right w:val="none" w:sz="0" w:space="0" w:color="auto"/>
      </w:divBdr>
    </w:div>
    <w:div w:id="1655645038">
      <w:bodyDiv w:val="1"/>
      <w:marLeft w:val="0"/>
      <w:marRight w:val="0"/>
      <w:marTop w:val="0"/>
      <w:marBottom w:val="0"/>
      <w:divBdr>
        <w:top w:val="none" w:sz="0" w:space="0" w:color="auto"/>
        <w:left w:val="none" w:sz="0" w:space="0" w:color="auto"/>
        <w:bottom w:val="none" w:sz="0" w:space="0" w:color="auto"/>
        <w:right w:val="none" w:sz="0" w:space="0" w:color="auto"/>
      </w:divBdr>
    </w:div>
    <w:div w:id="1655795763">
      <w:bodyDiv w:val="1"/>
      <w:marLeft w:val="0"/>
      <w:marRight w:val="0"/>
      <w:marTop w:val="0"/>
      <w:marBottom w:val="0"/>
      <w:divBdr>
        <w:top w:val="none" w:sz="0" w:space="0" w:color="auto"/>
        <w:left w:val="none" w:sz="0" w:space="0" w:color="auto"/>
        <w:bottom w:val="none" w:sz="0" w:space="0" w:color="auto"/>
        <w:right w:val="none" w:sz="0" w:space="0" w:color="auto"/>
      </w:divBdr>
    </w:div>
    <w:div w:id="1661614477">
      <w:bodyDiv w:val="1"/>
      <w:marLeft w:val="0"/>
      <w:marRight w:val="0"/>
      <w:marTop w:val="0"/>
      <w:marBottom w:val="0"/>
      <w:divBdr>
        <w:top w:val="none" w:sz="0" w:space="0" w:color="auto"/>
        <w:left w:val="none" w:sz="0" w:space="0" w:color="auto"/>
        <w:bottom w:val="none" w:sz="0" w:space="0" w:color="auto"/>
        <w:right w:val="none" w:sz="0" w:space="0" w:color="auto"/>
      </w:divBdr>
    </w:div>
    <w:div w:id="1664624875">
      <w:bodyDiv w:val="1"/>
      <w:marLeft w:val="0"/>
      <w:marRight w:val="0"/>
      <w:marTop w:val="0"/>
      <w:marBottom w:val="0"/>
      <w:divBdr>
        <w:top w:val="none" w:sz="0" w:space="0" w:color="auto"/>
        <w:left w:val="none" w:sz="0" w:space="0" w:color="auto"/>
        <w:bottom w:val="none" w:sz="0" w:space="0" w:color="auto"/>
        <w:right w:val="none" w:sz="0" w:space="0" w:color="auto"/>
      </w:divBdr>
    </w:div>
    <w:div w:id="1697392221">
      <w:bodyDiv w:val="1"/>
      <w:marLeft w:val="0"/>
      <w:marRight w:val="0"/>
      <w:marTop w:val="0"/>
      <w:marBottom w:val="0"/>
      <w:divBdr>
        <w:top w:val="none" w:sz="0" w:space="0" w:color="auto"/>
        <w:left w:val="none" w:sz="0" w:space="0" w:color="auto"/>
        <w:bottom w:val="none" w:sz="0" w:space="0" w:color="auto"/>
        <w:right w:val="none" w:sz="0" w:space="0" w:color="auto"/>
      </w:divBdr>
    </w:div>
    <w:div w:id="1698654919">
      <w:bodyDiv w:val="1"/>
      <w:marLeft w:val="0"/>
      <w:marRight w:val="0"/>
      <w:marTop w:val="0"/>
      <w:marBottom w:val="0"/>
      <w:divBdr>
        <w:top w:val="none" w:sz="0" w:space="0" w:color="auto"/>
        <w:left w:val="none" w:sz="0" w:space="0" w:color="auto"/>
        <w:bottom w:val="none" w:sz="0" w:space="0" w:color="auto"/>
        <w:right w:val="none" w:sz="0" w:space="0" w:color="auto"/>
      </w:divBdr>
    </w:div>
    <w:div w:id="1699546988">
      <w:bodyDiv w:val="1"/>
      <w:marLeft w:val="0"/>
      <w:marRight w:val="0"/>
      <w:marTop w:val="0"/>
      <w:marBottom w:val="0"/>
      <w:divBdr>
        <w:top w:val="none" w:sz="0" w:space="0" w:color="auto"/>
        <w:left w:val="none" w:sz="0" w:space="0" w:color="auto"/>
        <w:bottom w:val="none" w:sz="0" w:space="0" w:color="auto"/>
        <w:right w:val="none" w:sz="0" w:space="0" w:color="auto"/>
      </w:divBdr>
    </w:div>
    <w:div w:id="1708142560">
      <w:bodyDiv w:val="1"/>
      <w:marLeft w:val="0"/>
      <w:marRight w:val="0"/>
      <w:marTop w:val="0"/>
      <w:marBottom w:val="0"/>
      <w:divBdr>
        <w:top w:val="none" w:sz="0" w:space="0" w:color="auto"/>
        <w:left w:val="none" w:sz="0" w:space="0" w:color="auto"/>
        <w:bottom w:val="none" w:sz="0" w:space="0" w:color="auto"/>
        <w:right w:val="none" w:sz="0" w:space="0" w:color="auto"/>
      </w:divBdr>
    </w:div>
    <w:div w:id="1713920656">
      <w:bodyDiv w:val="1"/>
      <w:marLeft w:val="0"/>
      <w:marRight w:val="0"/>
      <w:marTop w:val="0"/>
      <w:marBottom w:val="0"/>
      <w:divBdr>
        <w:top w:val="none" w:sz="0" w:space="0" w:color="auto"/>
        <w:left w:val="none" w:sz="0" w:space="0" w:color="auto"/>
        <w:bottom w:val="none" w:sz="0" w:space="0" w:color="auto"/>
        <w:right w:val="none" w:sz="0" w:space="0" w:color="auto"/>
      </w:divBdr>
    </w:div>
    <w:div w:id="1719281135">
      <w:bodyDiv w:val="1"/>
      <w:marLeft w:val="0"/>
      <w:marRight w:val="0"/>
      <w:marTop w:val="0"/>
      <w:marBottom w:val="0"/>
      <w:divBdr>
        <w:top w:val="none" w:sz="0" w:space="0" w:color="auto"/>
        <w:left w:val="none" w:sz="0" w:space="0" w:color="auto"/>
        <w:bottom w:val="none" w:sz="0" w:space="0" w:color="auto"/>
        <w:right w:val="none" w:sz="0" w:space="0" w:color="auto"/>
      </w:divBdr>
    </w:div>
    <w:div w:id="1723406515">
      <w:bodyDiv w:val="1"/>
      <w:marLeft w:val="0"/>
      <w:marRight w:val="0"/>
      <w:marTop w:val="0"/>
      <w:marBottom w:val="0"/>
      <w:divBdr>
        <w:top w:val="none" w:sz="0" w:space="0" w:color="auto"/>
        <w:left w:val="none" w:sz="0" w:space="0" w:color="auto"/>
        <w:bottom w:val="none" w:sz="0" w:space="0" w:color="auto"/>
        <w:right w:val="none" w:sz="0" w:space="0" w:color="auto"/>
      </w:divBdr>
    </w:div>
    <w:div w:id="1744375108">
      <w:bodyDiv w:val="1"/>
      <w:marLeft w:val="0"/>
      <w:marRight w:val="0"/>
      <w:marTop w:val="0"/>
      <w:marBottom w:val="0"/>
      <w:divBdr>
        <w:top w:val="none" w:sz="0" w:space="0" w:color="auto"/>
        <w:left w:val="none" w:sz="0" w:space="0" w:color="auto"/>
        <w:bottom w:val="none" w:sz="0" w:space="0" w:color="auto"/>
        <w:right w:val="none" w:sz="0" w:space="0" w:color="auto"/>
      </w:divBdr>
    </w:div>
    <w:div w:id="1753815985">
      <w:bodyDiv w:val="1"/>
      <w:marLeft w:val="0"/>
      <w:marRight w:val="0"/>
      <w:marTop w:val="0"/>
      <w:marBottom w:val="0"/>
      <w:divBdr>
        <w:top w:val="none" w:sz="0" w:space="0" w:color="auto"/>
        <w:left w:val="none" w:sz="0" w:space="0" w:color="auto"/>
        <w:bottom w:val="none" w:sz="0" w:space="0" w:color="auto"/>
        <w:right w:val="none" w:sz="0" w:space="0" w:color="auto"/>
      </w:divBdr>
    </w:div>
    <w:div w:id="1764522772">
      <w:bodyDiv w:val="1"/>
      <w:marLeft w:val="0"/>
      <w:marRight w:val="0"/>
      <w:marTop w:val="0"/>
      <w:marBottom w:val="0"/>
      <w:divBdr>
        <w:top w:val="none" w:sz="0" w:space="0" w:color="auto"/>
        <w:left w:val="none" w:sz="0" w:space="0" w:color="auto"/>
        <w:bottom w:val="none" w:sz="0" w:space="0" w:color="auto"/>
        <w:right w:val="none" w:sz="0" w:space="0" w:color="auto"/>
      </w:divBdr>
    </w:div>
    <w:div w:id="1775249146">
      <w:bodyDiv w:val="1"/>
      <w:marLeft w:val="0"/>
      <w:marRight w:val="0"/>
      <w:marTop w:val="0"/>
      <w:marBottom w:val="0"/>
      <w:divBdr>
        <w:top w:val="none" w:sz="0" w:space="0" w:color="auto"/>
        <w:left w:val="none" w:sz="0" w:space="0" w:color="auto"/>
        <w:bottom w:val="none" w:sz="0" w:space="0" w:color="auto"/>
        <w:right w:val="none" w:sz="0" w:space="0" w:color="auto"/>
      </w:divBdr>
    </w:div>
    <w:div w:id="1791822197">
      <w:bodyDiv w:val="1"/>
      <w:marLeft w:val="0"/>
      <w:marRight w:val="0"/>
      <w:marTop w:val="0"/>
      <w:marBottom w:val="0"/>
      <w:divBdr>
        <w:top w:val="none" w:sz="0" w:space="0" w:color="auto"/>
        <w:left w:val="none" w:sz="0" w:space="0" w:color="auto"/>
        <w:bottom w:val="none" w:sz="0" w:space="0" w:color="auto"/>
        <w:right w:val="none" w:sz="0" w:space="0" w:color="auto"/>
      </w:divBdr>
    </w:div>
    <w:div w:id="1794397367">
      <w:bodyDiv w:val="1"/>
      <w:marLeft w:val="0"/>
      <w:marRight w:val="0"/>
      <w:marTop w:val="0"/>
      <w:marBottom w:val="0"/>
      <w:divBdr>
        <w:top w:val="none" w:sz="0" w:space="0" w:color="auto"/>
        <w:left w:val="none" w:sz="0" w:space="0" w:color="auto"/>
        <w:bottom w:val="none" w:sz="0" w:space="0" w:color="auto"/>
        <w:right w:val="none" w:sz="0" w:space="0" w:color="auto"/>
      </w:divBdr>
    </w:div>
    <w:div w:id="1806005219">
      <w:bodyDiv w:val="1"/>
      <w:marLeft w:val="0"/>
      <w:marRight w:val="0"/>
      <w:marTop w:val="0"/>
      <w:marBottom w:val="0"/>
      <w:divBdr>
        <w:top w:val="none" w:sz="0" w:space="0" w:color="auto"/>
        <w:left w:val="none" w:sz="0" w:space="0" w:color="auto"/>
        <w:bottom w:val="none" w:sz="0" w:space="0" w:color="auto"/>
        <w:right w:val="none" w:sz="0" w:space="0" w:color="auto"/>
      </w:divBdr>
    </w:div>
    <w:div w:id="1810246517">
      <w:bodyDiv w:val="1"/>
      <w:marLeft w:val="0"/>
      <w:marRight w:val="0"/>
      <w:marTop w:val="0"/>
      <w:marBottom w:val="0"/>
      <w:divBdr>
        <w:top w:val="none" w:sz="0" w:space="0" w:color="auto"/>
        <w:left w:val="none" w:sz="0" w:space="0" w:color="auto"/>
        <w:bottom w:val="none" w:sz="0" w:space="0" w:color="auto"/>
        <w:right w:val="none" w:sz="0" w:space="0" w:color="auto"/>
      </w:divBdr>
    </w:div>
    <w:div w:id="1821799834">
      <w:bodyDiv w:val="1"/>
      <w:marLeft w:val="0"/>
      <w:marRight w:val="0"/>
      <w:marTop w:val="0"/>
      <w:marBottom w:val="0"/>
      <w:divBdr>
        <w:top w:val="none" w:sz="0" w:space="0" w:color="auto"/>
        <w:left w:val="none" w:sz="0" w:space="0" w:color="auto"/>
        <w:bottom w:val="none" w:sz="0" w:space="0" w:color="auto"/>
        <w:right w:val="none" w:sz="0" w:space="0" w:color="auto"/>
      </w:divBdr>
    </w:div>
    <w:div w:id="1827555428">
      <w:bodyDiv w:val="1"/>
      <w:marLeft w:val="0"/>
      <w:marRight w:val="0"/>
      <w:marTop w:val="0"/>
      <w:marBottom w:val="0"/>
      <w:divBdr>
        <w:top w:val="none" w:sz="0" w:space="0" w:color="auto"/>
        <w:left w:val="none" w:sz="0" w:space="0" w:color="auto"/>
        <w:bottom w:val="none" w:sz="0" w:space="0" w:color="auto"/>
        <w:right w:val="none" w:sz="0" w:space="0" w:color="auto"/>
      </w:divBdr>
    </w:div>
    <w:div w:id="1831752804">
      <w:bodyDiv w:val="1"/>
      <w:marLeft w:val="0"/>
      <w:marRight w:val="0"/>
      <w:marTop w:val="0"/>
      <w:marBottom w:val="0"/>
      <w:divBdr>
        <w:top w:val="none" w:sz="0" w:space="0" w:color="auto"/>
        <w:left w:val="none" w:sz="0" w:space="0" w:color="auto"/>
        <w:bottom w:val="none" w:sz="0" w:space="0" w:color="auto"/>
        <w:right w:val="none" w:sz="0" w:space="0" w:color="auto"/>
      </w:divBdr>
    </w:div>
    <w:div w:id="1839224370">
      <w:bodyDiv w:val="1"/>
      <w:marLeft w:val="0"/>
      <w:marRight w:val="0"/>
      <w:marTop w:val="0"/>
      <w:marBottom w:val="0"/>
      <w:divBdr>
        <w:top w:val="none" w:sz="0" w:space="0" w:color="auto"/>
        <w:left w:val="none" w:sz="0" w:space="0" w:color="auto"/>
        <w:bottom w:val="none" w:sz="0" w:space="0" w:color="auto"/>
        <w:right w:val="none" w:sz="0" w:space="0" w:color="auto"/>
      </w:divBdr>
    </w:div>
    <w:div w:id="1869759967">
      <w:bodyDiv w:val="1"/>
      <w:marLeft w:val="0"/>
      <w:marRight w:val="0"/>
      <w:marTop w:val="0"/>
      <w:marBottom w:val="0"/>
      <w:divBdr>
        <w:top w:val="none" w:sz="0" w:space="0" w:color="auto"/>
        <w:left w:val="none" w:sz="0" w:space="0" w:color="auto"/>
        <w:bottom w:val="none" w:sz="0" w:space="0" w:color="auto"/>
        <w:right w:val="none" w:sz="0" w:space="0" w:color="auto"/>
      </w:divBdr>
    </w:div>
    <w:div w:id="1875653361">
      <w:bodyDiv w:val="1"/>
      <w:marLeft w:val="0"/>
      <w:marRight w:val="0"/>
      <w:marTop w:val="0"/>
      <w:marBottom w:val="0"/>
      <w:divBdr>
        <w:top w:val="none" w:sz="0" w:space="0" w:color="auto"/>
        <w:left w:val="none" w:sz="0" w:space="0" w:color="auto"/>
        <w:bottom w:val="none" w:sz="0" w:space="0" w:color="auto"/>
        <w:right w:val="none" w:sz="0" w:space="0" w:color="auto"/>
      </w:divBdr>
    </w:div>
    <w:div w:id="1877039475">
      <w:bodyDiv w:val="1"/>
      <w:marLeft w:val="0"/>
      <w:marRight w:val="0"/>
      <w:marTop w:val="0"/>
      <w:marBottom w:val="0"/>
      <w:divBdr>
        <w:top w:val="none" w:sz="0" w:space="0" w:color="auto"/>
        <w:left w:val="none" w:sz="0" w:space="0" w:color="auto"/>
        <w:bottom w:val="none" w:sz="0" w:space="0" w:color="auto"/>
        <w:right w:val="none" w:sz="0" w:space="0" w:color="auto"/>
      </w:divBdr>
    </w:div>
    <w:div w:id="1885944392">
      <w:bodyDiv w:val="1"/>
      <w:marLeft w:val="0"/>
      <w:marRight w:val="0"/>
      <w:marTop w:val="0"/>
      <w:marBottom w:val="0"/>
      <w:divBdr>
        <w:top w:val="none" w:sz="0" w:space="0" w:color="auto"/>
        <w:left w:val="none" w:sz="0" w:space="0" w:color="auto"/>
        <w:bottom w:val="none" w:sz="0" w:space="0" w:color="auto"/>
        <w:right w:val="none" w:sz="0" w:space="0" w:color="auto"/>
      </w:divBdr>
    </w:div>
    <w:div w:id="1894656727">
      <w:bodyDiv w:val="1"/>
      <w:marLeft w:val="0"/>
      <w:marRight w:val="0"/>
      <w:marTop w:val="0"/>
      <w:marBottom w:val="0"/>
      <w:divBdr>
        <w:top w:val="none" w:sz="0" w:space="0" w:color="auto"/>
        <w:left w:val="none" w:sz="0" w:space="0" w:color="auto"/>
        <w:bottom w:val="none" w:sz="0" w:space="0" w:color="auto"/>
        <w:right w:val="none" w:sz="0" w:space="0" w:color="auto"/>
      </w:divBdr>
    </w:div>
    <w:div w:id="1918711782">
      <w:bodyDiv w:val="1"/>
      <w:marLeft w:val="0"/>
      <w:marRight w:val="0"/>
      <w:marTop w:val="0"/>
      <w:marBottom w:val="0"/>
      <w:divBdr>
        <w:top w:val="none" w:sz="0" w:space="0" w:color="auto"/>
        <w:left w:val="none" w:sz="0" w:space="0" w:color="auto"/>
        <w:bottom w:val="none" w:sz="0" w:space="0" w:color="auto"/>
        <w:right w:val="none" w:sz="0" w:space="0" w:color="auto"/>
      </w:divBdr>
    </w:div>
    <w:div w:id="1935897476">
      <w:bodyDiv w:val="1"/>
      <w:marLeft w:val="0"/>
      <w:marRight w:val="0"/>
      <w:marTop w:val="0"/>
      <w:marBottom w:val="0"/>
      <w:divBdr>
        <w:top w:val="none" w:sz="0" w:space="0" w:color="auto"/>
        <w:left w:val="none" w:sz="0" w:space="0" w:color="auto"/>
        <w:bottom w:val="none" w:sz="0" w:space="0" w:color="auto"/>
        <w:right w:val="none" w:sz="0" w:space="0" w:color="auto"/>
      </w:divBdr>
    </w:div>
    <w:div w:id="1936744386">
      <w:bodyDiv w:val="1"/>
      <w:marLeft w:val="0"/>
      <w:marRight w:val="0"/>
      <w:marTop w:val="0"/>
      <w:marBottom w:val="0"/>
      <w:divBdr>
        <w:top w:val="none" w:sz="0" w:space="0" w:color="auto"/>
        <w:left w:val="none" w:sz="0" w:space="0" w:color="auto"/>
        <w:bottom w:val="none" w:sz="0" w:space="0" w:color="auto"/>
        <w:right w:val="none" w:sz="0" w:space="0" w:color="auto"/>
      </w:divBdr>
    </w:div>
    <w:div w:id="1943148458">
      <w:bodyDiv w:val="1"/>
      <w:marLeft w:val="0"/>
      <w:marRight w:val="0"/>
      <w:marTop w:val="0"/>
      <w:marBottom w:val="0"/>
      <w:divBdr>
        <w:top w:val="none" w:sz="0" w:space="0" w:color="auto"/>
        <w:left w:val="none" w:sz="0" w:space="0" w:color="auto"/>
        <w:bottom w:val="none" w:sz="0" w:space="0" w:color="auto"/>
        <w:right w:val="none" w:sz="0" w:space="0" w:color="auto"/>
      </w:divBdr>
    </w:div>
    <w:div w:id="1982298863">
      <w:bodyDiv w:val="1"/>
      <w:marLeft w:val="0"/>
      <w:marRight w:val="0"/>
      <w:marTop w:val="0"/>
      <w:marBottom w:val="0"/>
      <w:divBdr>
        <w:top w:val="none" w:sz="0" w:space="0" w:color="auto"/>
        <w:left w:val="none" w:sz="0" w:space="0" w:color="auto"/>
        <w:bottom w:val="none" w:sz="0" w:space="0" w:color="auto"/>
        <w:right w:val="none" w:sz="0" w:space="0" w:color="auto"/>
      </w:divBdr>
    </w:div>
    <w:div w:id="1983003771">
      <w:bodyDiv w:val="1"/>
      <w:marLeft w:val="0"/>
      <w:marRight w:val="0"/>
      <w:marTop w:val="0"/>
      <w:marBottom w:val="0"/>
      <w:divBdr>
        <w:top w:val="none" w:sz="0" w:space="0" w:color="auto"/>
        <w:left w:val="none" w:sz="0" w:space="0" w:color="auto"/>
        <w:bottom w:val="none" w:sz="0" w:space="0" w:color="auto"/>
        <w:right w:val="none" w:sz="0" w:space="0" w:color="auto"/>
      </w:divBdr>
    </w:div>
    <w:div w:id="1991514699">
      <w:bodyDiv w:val="1"/>
      <w:marLeft w:val="0"/>
      <w:marRight w:val="0"/>
      <w:marTop w:val="0"/>
      <w:marBottom w:val="0"/>
      <w:divBdr>
        <w:top w:val="none" w:sz="0" w:space="0" w:color="auto"/>
        <w:left w:val="none" w:sz="0" w:space="0" w:color="auto"/>
        <w:bottom w:val="none" w:sz="0" w:space="0" w:color="auto"/>
        <w:right w:val="none" w:sz="0" w:space="0" w:color="auto"/>
      </w:divBdr>
    </w:div>
    <w:div w:id="1992519277">
      <w:bodyDiv w:val="1"/>
      <w:marLeft w:val="0"/>
      <w:marRight w:val="0"/>
      <w:marTop w:val="0"/>
      <w:marBottom w:val="0"/>
      <w:divBdr>
        <w:top w:val="none" w:sz="0" w:space="0" w:color="auto"/>
        <w:left w:val="none" w:sz="0" w:space="0" w:color="auto"/>
        <w:bottom w:val="none" w:sz="0" w:space="0" w:color="auto"/>
        <w:right w:val="none" w:sz="0" w:space="0" w:color="auto"/>
      </w:divBdr>
    </w:div>
    <w:div w:id="2000689193">
      <w:bodyDiv w:val="1"/>
      <w:marLeft w:val="0"/>
      <w:marRight w:val="0"/>
      <w:marTop w:val="0"/>
      <w:marBottom w:val="0"/>
      <w:divBdr>
        <w:top w:val="none" w:sz="0" w:space="0" w:color="auto"/>
        <w:left w:val="none" w:sz="0" w:space="0" w:color="auto"/>
        <w:bottom w:val="none" w:sz="0" w:space="0" w:color="auto"/>
        <w:right w:val="none" w:sz="0" w:space="0" w:color="auto"/>
      </w:divBdr>
    </w:div>
    <w:div w:id="2008895815">
      <w:bodyDiv w:val="1"/>
      <w:marLeft w:val="0"/>
      <w:marRight w:val="0"/>
      <w:marTop w:val="0"/>
      <w:marBottom w:val="0"/>
      <w:divBdr>
        <w:top w:val="none" w:sz="0" w:space="0" w:color="auto"/>
        <w:left w:val="none" w:sz="0" w:space="0" w:color="auto"/>
        <w:bottom w:val="none" w:sz="0" w:space="0" w:color="auto"/>
        <w:right w:val="none" w:sz="0" w:space="0" w:color="auto"/>
      </w:divBdr>
    </w:div>
    <w:div w:id="2021346491">
      <w:bodyDiv w:val="1"/>
      <w:marLeft w:val="0"/>
      <w:marRight w:val="0"/>
      <w:marTop w:val="0"/>
      <w:marBottom w:val="0"/>
      <w:divBdr>
        <w:top w:val="none" w:sz="0" w:space="0" w:color="auto"/>
        <w:left w:val="none" w:sz="0" w:space="0" w:color="auto"/>
        <w:bottom w:val="none" w:sz="0" w:space="0" w:color="auto"/>
        <w:right w:val="none" w:sz="0" w:space="0" w:color="auto"/>
      </w:divBdr>
    </w:div>
    <w:div w:id="2041278711">
      <w:bodyDiv w:val="1"/>
      <w:marLeft w:val="0"/>
      <w:marRight w:val="0"/>
      <w:marTop w:val="0"/>
      <w:marBottom w:val="0"/>
      <w:divBdr>
        <w:top w:val="none" w:sz="0" w:space="0" w:color="auto"/>
        <w:left w:val="none" w:sz="0" w:space="0" w:color="auto"/>
        <w:bottom w:val="none" w:sz="0" w:space="0" w:color="auto"/>
        <w:right w:val="none" w:sz="0" w:space="0" w:color="auto"/>
      </w:divBdr>
    </w:div>
    <w:div w:id="2053000571">
      <w:bodyDiv w:val="1"/>
      <w:marLeft w:val="0"/>
      <w:marRight w:val="0"/>
      <w:marTop w:val="0"/>
      <w:marBottom w:val="0"/>
      <w:divBdr>
        <w:top w:val="none" w:sz="0" w:space="0" w:color="auto"/>
        <w:left w:val="none" w:sz="0" w:space="0" w:color="auto"/>
        <w:bottom w:val="none" w:sz="0" w:space="0" w:color="auto"/>
        <w:right w:val="none" w:sz="0" w:space="0" w:color="auto"/>
      </w:divBdr>
    </w:div>
    <w:div w:id="2066905485">
      <w:bodyDiv w:val="1"/>
      <w:marLeft w:val="0"/>
      <w:marRight w:val="0"/>
      <w:marTop w:val="0"/>
      <w:marBottom w:val="0"/>
      <w:divBdr>
        <w:top w:val="none" w:sz="0" w:space="0" w:color="auto"/>
        <w:left w:val="none" w:sz="0" w:space="0" w:color="auto"/>
        <w:bottom w:val="none" w:sz="0" w:space="0" w:color="auto"/>
        <w:right w:val="none" w:sz="0" w:space="0" w:color="auto"/>
      </w:divBdr>
    </w:div>
    <w:div w:id="2068069660">
      <w:bodyDiv w:val="1"/>
      <w:marLeft w:val="0"/>
      <w:marRight w:val="0"/>
      <w:marTop w:val="0"/>
      <w:marBottom w:val="0"/>
      <w:divBdr>
        <w:top w:val="none" w:sz="0" w:space="0" w:color="auto"/>
        <w:left w:val="none" w:sz="0" w:space="0" w:color="auto"/>
        <w:bottom w:val="none" w:sz="0" w:space="0" w:color="auto"/>
        <w:right w:val="none" w:sz="0" w:space="0" w:color="auto"/>
      </w:divBdr>
    </w:div>
    <w:div w:id="2078286827">
      <w:bodyDiv w:val="1"/>
      <w:marLeft w:val="0"/>
      <w:marRight w:val="0"/>
      <w:marTop w:val="0"/>
      <w:marBottom w:val="0"/>
      <w:divBdr>
        <w:top w:val="none" w:sz="0" w:space="0" w:color="auto"/>
        <w:left w:val="none" w:sz="0" w:space="0" w:color="auto"/>
        <w:bottom w:val="none" w:sz="0" w:space="0" w:color="auto"/>
        <w:right w:val="none" w:sz="0" w:space="0" w:color="auto"/>
      </w:divBdr>
    </w:div>
    <w:div w:id="2087654005">
      <w:bodyDiv w:val="1"/>
      <w:marLeft w:val="0"/>
      <w:marRight w:val="0"/>
      <w:marTop w:val="0"/>
      <w:marBottom w:val="0"/>
      <w:divBdr>
        <w:top w:val="none" w:sz="0" w:space="0" w:color="auto"/>
        <w:left w:val="none" w:sz="0" w:space="0" w:color="auto"/>
        <w:bottom w:val="none" w:sz="0" w:space="0" w:color="auto"/>
        <w:right w:val="none" w:sz="0" w:space="0" w:color="auto"/>
      </w:divBdr>
    </w:div>
    <w:div w:id="2100053244">
      <w:bodyDiv w:val="1"/>
      <w:marLeft w:val="0"/>
      <w:marRight w:val="0"/>
      <w:marTop w:val="0"/>
      <w:marBottom w:val="0"/>
      <w:divBdr>
        <w:top w:val="none" w:sz="0" w:space="0" w:color="auto"/>
        <w:left w:val="none" w:sz="0" w:space="0" w:color="auto"/>
        <w:bottom w:val="none" w:sz="0" w:space="0" w:color="auto"/>
        <w:right w:val="none" w:sz="0" w:space="0" w:color="auto"/>
      </w:divBdr>
    </w:div>
    <w:div w:id="2101370020">
      <w:bodyDiv w:val="1"/>
      <w:marLeft w:val="0"/>
      <w:marRight w:val="0"/>
      <w:marTop w:val="0"/>
      <w:marBottom w:val="0"/>
      <w:divBdr>
        <w:top w:val="none" w:sz="0" w:space="0" w:color="auto"/>
        <w:left w:val="none" w:sz="0" w:space="0" w:color="auto"/>
        <w:bottom w:val="none" w:sz="0" w:space="0" w:color="auto"/>
        <w:right w:val="none" w:sz="0" w:space="0" w:color="auto"/>
      </w:divBdr>
    </w:div>
    <w:div w:id="2112122626">
      <w:bodyDiv w:val="1"/>
      <w:marLeft w:val="0"/>
      <w:marRight w:val="0"/>
      <w:marTop w:val="0"/>
      <w:marBottom w:val="0"/>
      <w:divBdr>
        <w:top w:val="none" w:sz="0" w:space="0" w:color="auto"/>
        <w:left w:val="none" w:sz="0" w:space="0" w:color="auto"/>
        <w:bottom w:val="none" w:sz="0" w:space="0" w:color="auto"/>
        <w:right w:val="none" w:sz="0" w:space="0" w:color="auto"/>
      </w:divBdr>
    </w:div>
    <w:div w:id="2115981935">
      <w:bodyDiv w:val="1"/>
      <w:marLeft w:val="0"/>
      <w:marRight w:val="0"/>
      <w:marTop w:val="0"/>
      <w:marBottom w:val="0"/>
      <w:divBdr>
        <w:top w:val="none" w:sz="0" w:space="0" w:color="auto"/>
        <w:left w:val="none" w:sz="0" w:space="0" w:color="auto"/>
        <w:bottom w:val="none" w:sz="0" w:space="0" w:color="auto"/>
        <w:right w:val="none" w:sz="0" w:space="0" w:color="auto"/>
      </w:divBdr>
    </w:div>
    <w:div w:id="2116748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image" Target="media/image4.emf"/><Relationship Id="rId26" Type="http://schemas.openxmlformats.org/officeDocument/2006/relationships/image" Target="media/image7.emf"/><Relationship Id="rId39"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package" Target="embeddings/Microsoft_Office_Excel_Worksheet4.xlsx"/><Relationship Id="rId34" Type="http://schemas.openxmlformats.org/officeDocument/2006/relationships/header" Target="header3.xml"/><Relationship Id="rId42" Type="http://schemas.openxmlformats.org/officeDocument/2006/relationships/package" Target="embeddings/Microsoft_Office_Excel_Worksheet11.xlsx"/><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package" Target="embeddings/Microsoft_Office_Excel_Worksheet2.xlsx"/><Relationship Id="rId25" Type="http://schemas.openxmlformats.org/officeDocument/2006/relationships/chart" Target="charts/chart3.xml"/><Relationship Id="rId33" Type="http://schemas.openxmlformats.org/officeDocument/2006/relationships/image" Target="media/image10.emf"/><Relationship Id="rId38" Type="http://schemas.openxmlformats.org/officeDocument/2006/relationships/image" Target="media/image12.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package" Target="embeddings/Microsoft_Office_Excel_Worksheet7.xlsx"/><Relationship Id="rId41"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2.xml"/><Relationship Id="rId32" Type="http://schemas.openxmlformats.org/officeDocument/2006/relationships/chart" Target="charts/chart4.xml"/><Relationship Id="rId37" Type="http://schemas.openxmlformats.org/officeDocument/2006/relationships/package" Target="embeddings/Microsoft_Office_Excel_Worksheet9.xlsx"/><Relationship Id="rId40" Type="http://schemas.openxmlformats.org/officeDocument/2006/relationships/package" Target="embeddings/Microsoft_Office_Excel_Worksheet10.xlsx"/><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package" Target="embeddings/Microsoft_Office_Excel_Worksheet1.xlsx"/><Relationship Id="rId23" Type="http://schemas.openxmlformats.org/officeDocument/2006/relationships/package" Target="embeddings/Microsoft_Office_Excel_Worksheet5.xlsx"/><Relationship Id="rId28" Type="http://schemas.openxmlformats.org/officeDocument/2006/relationships/image" Target="media/image8.emf"/><Relationship Id="rId36" Type="http://schemas.openxmlformats.org/officeDocument/2006/relationships/image" Target="media/image11.emf"/><Relationship Id="rId10" Type="http://schemas.openxmlformats.org/officeDocument/2006/relationships/header" Target="header2.xml"/><Relationship Id="rId19" Type="http://schemas.openxmlformats.org/officeDocument/2006/relationships/package" Target="embeddings/Microsoft_Office_Excel_Worksheet3.xlsx"/><Relationship Id="rId31" Type="http://schemas.openxmlformats.org/officeDocument/2006/relationships/package" Target="embeddings/Microsoft_Office_Excel_Worksheet8.xlsx"/><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Office_Excel_Worksheet6.xlsx"/><Relationship Id="rId30" Type="http://schemas.openxmlformats.org/officeDocument/2006/relationships/image" Target="media/image9.emf"/><Relationship Id="rId35" Type="http://schemas.openxmlformats.org/officeDocument/2006/relationships/footer" Target="footer3.xml"/><Relationship Id="rId43" Type="http://schemas.openxmlformats.org/officeDocument/2006/relationships/image" Target="media/image15.emf"/><Relationship Id="rId48"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nanddhavale\Application%20Data\Microsoft\Templates\Report.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Assignments\Execution\ED-Goa\MYT%20FY20-22\PED%20BP%20Data\BP%20Forma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C_FB_Assignments\Puducherry\Draft%20BP%20files\BP%20Formats_v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C_FB_Assignments\Puducherry\Draft%20BP%20files\BP%20Formats_v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Assignments\Execution\ED-Goa\MYT%20FY20-22\PED%20BP%20Data\BP%20Forma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n-IN"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etc'!$C$38:$C$75</c:f>
              <c:strCache>
                <c:ptCount val="5"/>
                <c:pt idx="0">
                  <c:v>NTPC</c:v>
                </c:pt>
                <c:pt idx="1">
                  <c:v>NLC</c:v>
                </c:pt>
                <c:pt idx="2">
                  <c:v>NPCIL</c:v>
                </c:pt>
                <c:pt idx="3">
                  <c:v>Others</c:v>
                </c:pt>
                <c:pt idx="4">
                  <c:v>PPCL</c:v>
                </c:pt>
              </c:strCache>
            </c:strRef>
          </c:cat>
          <c:val>
            <c:numRef>
              <c:f>'Graphs etc'!$D$38:$D$75</c:f>
              <c:numCache>
                <c:formatCode>_(* #,##0.00_);_(* \(#,##0.00\);_(* "-"??_);_(@_)</c:formatCode>
                <c:ptCount val="5"/>
                <c:pt idx="0">
                  <c:v>175.90700000000001</c:v>
                </c:pt>
                <c:pt idx="1">
                  <c:v>176.21899999999999</c:v>
                </c:pt>
                <c:pt idx="2">
                  <c:v>117.78800000000001</c:v>
                </c:pt>
                <c:pt idx="3">
                  <c:v>30.330000000000005</c:v>
                </c:pt>
                <c:pt idx="4">
                  <c:v>32.5</c:v>
                </c:pt>
              </c:numCache>
            </c:numRef>
          </c:val>
        </c:ser>
        <c:ser>
          <c:idx val="1"/>
          <c:order val="1"/>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n-IN" sz="900" b="0" i="0" u="none" strike="noStrike" kern="1200" baseline="0">
                    <a:solidFill>
                      <a:schemeClr val="tx1">
                        <a:lumMod val="75000"/>
                        <a:lumOff val="25000"/>
                      </a:schemeClr>
                    </a:solidFill>
                    <a:latin typeface="+mn-lt"/>
                    <a:ea typeface="+mn-ea"/>
                    <a:cs typeface="+mn-cs"/>
                  </a:defRPr>
                </a:pPr>
                <a:endParaRPr lang="en-US"/>
              </a:p>
            </c:txPr>
            <c:showLegendKey val="1"/>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etc'!$C$38:$C$75</c:f>
              <c:strCache>
                <c:ptCount val="5"/>
                <c:pt idx="0">
                  <c:v>NTPC</c:v>
                </c:pt>
                <c:pt idx="1">
                  <c:v>NLC</c:v>
                </c:pt>
                <c:pt idx="2">
                  <c:v>NPCIL</c:v>
                </c:pt>
                <c:pt idx="3">
                  <c:v>Others</c:v>
                </c:pt>
                <c:pt idx="4">
                  <c:v>PPCL</c:v>
                </c:pt>
              </c:strCache>
            </c:strRef>
          </c:cat>
          <c:val>
            <c:numRef>
              <c:f>'Graphs etc'!$E$38:$E$75</c:f>
              <c:numCache>
                <c:formatCode>0%</c:formatCode>
                <c:ptCount val="5"/>
                <c:pt idx="0">
                  <c:v>0.3301904854864629</c:v>
                </c:pt>
                <c:pt idx="1">
                  <c:v>0.33077613262655231</c:v>
                </c:pt>
                <c:pt idx="2">
                  <c:v>0.22109681197723494</c:v>
                </c:pt>
                <c:pt idx="3">
                  <c:v>5.693165948372949E-2</c:v>
                </c:pt>
                <c:pt idx="4">
                  <c:v>6.1004910426020797E-2</c:v>
                </c:pt>
              </c:numCache>
            </c:numRef>
          </c:val>
        </c:ser>
        <c:dLbls>
          <c:showVal val="1"/>
        </c:dLbls>
        <c:overlap val="-25"/>
        <c:axId val="85677568"/>
        <c:axId val="85679104"/>
      </c:barChart>
      <c:catAx>
        <c:axId val="856775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IN" sz="900" b="0" i="0" u="none" strike="noStrike" kern="1200" baseline="0">
                <a:solidFill>
                  <a:schemeClr val="tx1">
                    <a:lumMod val="65000"/>
                    <a:lumOff val="35000"/>
                  </a:schemeClr>
                </a:solidFill>
                <a:latin typeface="+mn-lt"/>
                <a:ea typeface="+mn-ea"/>
                <a:cs typeface="+mn-cs"/>
              </a:defRPr>
            </a:pPr>
            <a:endParaRPr lang="en-US"/>
          </a:p>
        </c:txPr>
        <c:crossAx val="85679104"/>
        <c:crosses val="autoZero"/>
        <c:auto val="1"/>
        <c:lblAlgn val="ctr"/>
        <c:lblOffset val="100"/>
      </c:catAx>
      <c:valAx>
        <c:axId val="85679104"/>
        <c:scaling>
          <c:orientation val="minMax"/>
        </c:scaling>
        <c:delete val="1"/>
        <c:axPos val="l"/>
        <c:numFmt formatCode="_(* #,##0.00_);_(* \(#,##0.00\);_(* &quot;-&quot;??_);_(@_)" sourceLinked="1"/>
        <c:tickLblPos val="nextTo"/>
        <c:crossAx val="85677568"/>
        <c:crosses val="autoZero"/>
        <c:crossBetween val="between"/>
      </c:valAx>
      <c:spPr>
        <a:noFill/>
        <a:ln w="25400">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'C:\Users\chanmeets\AppData\Local\Microsoft\Windows\INetCache\Content.Outlook\34YQEDB3\[BP Formats_v2.xlsx]Peak Demand'!$C$8</c:f>
              <c:strCache>
                <c:ptCount val="1"/>
                <c:pt idx="0">
                  <c:v>Demand (MW)</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en-IN" sz="900" b="0" i="0" u="none" strike="noStrike" kern="1200" baseline="0">
                    <a:solidFill>
                      <a:schemeClr val="tx1">
                        <a:lumMod val="75000"/>
                        <a:lumOff val="25000"/>
                      </a:schemeClr>
                    </a:solidFill>
                    <a:latin typeface="+mn-lt"/>
                    <a:ea typeface="+mn-ea"/>
                    <a:cs typeface="+mn-cs"/>
                  </a:defRPr>
                </a:pPr>
                <a:endParaRPr lang="en-US"/>
              </a:p>
            </c:txPr>
            <c:dLblPos val="t"/>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'C:\Users\chanmeets\AppData\Local\Microsoft\Windows\INetCache\Content.Outlook\34YQEDB3\[BP Formats_v2.xlsx]Peak Demand'!$D$5:$O$5</c:f>
              <c:strCache>
                <c:ptCount val="12"/>
                <c:pt idx="0">
                  <c:v>April</c:v>
                </c:pt>
                <c:pt idx="1">
                  <c:v>May </c:v>
                </c:pt>
                <c:pt idx="2">
                  <c:v>June</c:v>
                </c:pt>
                <c:pt idx="3">
                  <c:v>July</c:v>
                </c:pt>
                <c:pt idx="4">
                  <c:v>Aug</c:v>
                </c:pt>
                <c:pt idx="5">
                  <c:v>Sep</c:v>
                </c:pt>
                <c:pt idx="6">
                  <c:v>Oct</c:v>
                </c:pt>
                <c:pt idx="7">
                  <c:v>Nov</c:v>
                </c:pt>
                <c:pt idx="8">
                  <c:v>Dec</c:v>
                </c:pt>
                <c:pt idx="9">
                  <c:v>Jan</c:v>
                </c:pt>
                <c:pt idx="10">
                  <c:v>Feb</c:v>
                </c:pt>
                <c:pt idx="11">
                  <c:v>March</c:v>
                </c:pt>
              </c:strCache>
            </c:strRef>
          </c:cat>
          <c:val>
            <c:numRef>
              <c:f>'C:\Users\chanmeets\AppData\Local\Microsoft\Windows\INetCache\Content.Outlook\34YQEDB3\[BP Formats_v2.xlsx]Peak Demand'!$D$8:$O$8</c:f>
              <c:numCache>
                <c:formatCode>General</c:formatCode>
                <c:ptCount val="12"/>
                <c:pt idx="0">
                  <c:v>452.28</c:v>
                </c:pt>
                <c:pt idx="1">
                  <c:v>447.75</c:v>
                </c:pt>
                <c:pt idx="2">
                  <c:v>444.26</c:v>
                </c:pt>
                <c:pt idx="3">
                  <c:v>404.74</c:v>
                </c:pt>
                <c:pt idx="4">
                  <c:v>450.6</c:v>
                </c:pt>
                <c:pt idx="5">
                  <c:v>443.13</c:v>
                </c:pt>
                <c:pt idx="6">
                  <c:v>440.66</c:v>
                </c:pt>
                <c:pt idx="7">
                  <c:v>434.08</c:v>
                </c:pt>
                <c:pt idx="8">
                  <c:v>385.8400000000002</c:v>
                </c:pt>
                <c:pt idx="9">
                  <c:v>392.94</c:v>
                </c:pt>
                <c:pt idx="10">
                  <c:v>405.7</c:v>
                </c:pt>
                <c:pt idx="11">
                  <c:v>428.51</c:v>
                </c:pt>
              </c:numCache>
            </c:numRef>
          </c:val>
        </c:ser>
        <c:marker val="1"/>
        <c:axId val="85698816"/>
        <c:axId val="85704704"/>
      </c:lineChart>
      <c:catAx>
        <c:axId val="856988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IN" sz="900" b="0" i="0" u="none" strike="noStrike" kern="1200" baseline="0">
                <a:solidFill>
                  <a:schemeClr val="tx1">
                    <a:lumMod val="65000"/>
                    <a:lumOff val="35000"/>
                  </a:schemeClr>
                </a:solidFill>
                <a:latin typeface="+mn-lt"/>
                <a:ea typeface="+mn-ea"/>
                <a:cs typeface="+mn-cs"/>
              </a:defRPr>
            </a:pPr>
            <a:endParaRPr lang="en-US"/>
          </a:p>
        </c:txPr>
        <c:crossAx val="85704704"/>
        <c:crosses val="autoZero"/>
        <c:auto val="1"/>
        <c:lblAlgn val="ctr"/>
        <c:lblOffset val="100"/>
      </c:catAx>
      <c:valAx>
        <c:axId val="85704704"/>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lang="en-IN" sz="900" b="0" i="0" u="none" strike="noStrike" kern="1200" baseline="0">
                <a:solidFill>
                  <a:schemeClr val="tx1">
                    <a:lumMod val="65000"/>
                    <a:lumOff val="35000"/>
                  </a:schemeClr>
                </a:solidFill>
                <a:latin typeface="+mn-lt"/>
                <a:ea typeface="+mn-ea"/>
                <a:cs typeface="+mn-cs"/>
              </a:defRPr>
            </a:pPr>
            <a:endParaRPr lang="en-US"/>
          </a:p>
        </c:txPr>
        <c:crossAx val="8569881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'[BP Formats_v3.xlsx]Peak Demand'!$C$8</c:f>
              <c:strCache>
                <c:ptCount val="1"/>
                <c:pt idx="0">
                  <c:v>Demand (MW)</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en-IN" sz="900" b="0" i="0" u="none" strike="noStrike" kern="1200" baseline="0">
                    <a:solidFill>
                      <a:schemeClr val="tx1">
                        <a:lumMod val="75000"/>
                        <a:lumOff val="25000"/>
                      </a:schemeClr>
                    </a:solidFill>
                    <a:latin typeface="+mn-lt"/>
                    <a:ea typeface="+mn-ea"/>
                    <a:cs typeface="+mn-cs"/>
                  </a:defRPr>
                </a:pPr>
                <a:endParaRPr lang="en-US"/>
              </a:p>
            </c:txPr>
            <c:dLblPos val="b"/>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'[BP Formats_v3.xlsx]Peak Demand'!$D$5:$AA$5</c:f>
              <c:strCache>
                <c:ptCount val="12"/>
                <c:pt idx="0">
                  <c:v>April</c:v>
                </c:pt>
                <c:pt idx="1">
                  <c:v>May </c:v>
                </c:pt>
                <c:pt idx="2">
                  <c:v>June</c:v>
                </c:pt>
                <c:pt idx="3">
                  <c:v>July</c:v>
                </c:pt>
                <c:pt idx="4">
                  <c:v>Aug</c:v>
                </c:pt>
                <c:pt idx="5">
                  <c:v>Sep</c:v>
                </c:pt>
                <c:pt idx="6">
                  <c:v>Oct</c:v>
                </c:pt>
                <c:pt idx="7">
                  <c:v>Nov</c:v>
                </c:pt>
                <c:pt idx="8">
                  <c:v>Dec</c:v>
                </c:pt>
                <c:pt idx="9">
                  <c:v>Jan</c:v>
                </c:pt>
                <c:pt idx="10">
                  <c:v>Feb</c:v>
                </c:pt>
                <c:pt idx="11">
                  <c:v>March</c:v>
                </c:pt>
              </c:strCache>
            </c:strRef>
          </c:cat>
          <c:val>
            <c:numRef>
              <c:f>'[BP Formats_v3.xlsx]Peak Demand'!$D$8:$AA$8</c:f>
              <c:numCache>
                <c:formatCode>General</c:formatCode>
                <c:ptCount val="12"/>
                <c:pt idx="0">
                  <c:v>476.41999999999979</c:v>
                </c:pt>
                <c:pt idx="1">
                  <c:v>460.52</c:v>
                </c:pt>
                <c:pt idx="2">
                  <c:v>455.95</c:v>
                </c:pt>
                <c:pt idx="3">
                  <c:v>459.8</c:v>
                </c:pt>
                <c:pt idx="4">
                  <c:v>452.44</c:v>
                </c:pt>
                <c:pt idx="5">
                  <c:v>439.45</c:v>
                </c:pt>
                <c:pt idx="6">
                  <c:v>438.75</c:v>
                </c:pt>
                <c:pt idx="7">
                  <c:v>410.8400000000002</c:v>
                </c:pt>
                <c:pt idx="8">
                  <c:v>406.77</c:v>
                </c:pt>
                <c:pt idx="9">
                  <c:v>429.72999999999979</c:v>
                </c:pt>
                <c:pt idx="10">
                  <c:v>427.36</c:v>
                </c:pt>
                <c:pt idx="11">
                  <c:v>436.4</c:v>
                </c:pt>
              </c:numCache>
            </c:numRef>
          </c:val>
        </c:ser>
        <c:marker val="1"/>
        <c:axId val="85715968"/>
        <c:axId val="85717760"/>
      </c:lineChart>
      <c:catAx>
        <c:axId val="857159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IN" sz="900" b="0" i="0" u="none" strike="noStrike" kern="1200" baseline="0">
                <a:solidFill>
                  <a:schemeClr val="tx1">
                    <a:lumMod val="65000"/>
                    <a:lumOff val="35000"/>
                  </a:schemeClr>
                </a:solidFill>
                <a:latin typeface="+mn-lt"/>
                <a:ea typeface="+mn-ea"/>
                <a:cs typeface="+mn-cs"/>
              </a:defRPr>
            </a:pPr>
            <a:endParaRPr lang="en-US"/>
          </a:p>
        </c:txPr>
        <c:crossAx val="85717760"/>
        <c:crosses val="autoZero"/>
        <c:auto val="1"/>
        <c:lblAlgn val="ctr"/>
        <c:lblOffset val="100"/>
      </c:catAx>
      <c:valAx>
        <c:axId val="85717760"/>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lang="en-IN" sz="900" b="0" i="0" u="none" strike="noStrike" kern="1200" baseline="0">
                <a:solidFill>
                  <a:schemeClr val="tx1">
                    <a:lumMod val="65000"/>
                    <a:lumOff val="35000"/>
                  </a:schemeClr>
                </a:solidFill>
                <a:latin typeface="+mn-lt"/>
                <a:ea typeface="+mn-ea"/>
                <a:cs typeface="+mn-cs"/>
              </a:defRPr>
            </a:pPr>
            <a:endParaRPr lang="en-US"/>
          </a:p>
        </c:txPr>
        <c:crossAx val="8571596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tx>
            <c:strRef>
              <c:f>'Graphs etc'!$C$5</c:f>
              <c:strCache>
                <c:ptCount val="1"/>
                <c:pt idx="0">
                  <c:v>FY 2016-17</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Pt>
            <c:idx val="5"/>
            <c:spPr>
              <a:solidFill>
                <a:schemeClr val="accent6"/>
              </a:solidFill>
              <a:ln w="19050">
                <a:solidFill>
                  <a:schemeClr val="lt1"/>
                </a:solidFill>
              </a:ln>
              <a:effectLst/>
            </c:spPr>
          </c:dPt>
          <c:dPt>
            <c:idx val="6"/>
            <c:spPr>
              <a:solidFill>
                <a:schemeClr val="accent1">
                  <a:lumMod val="60000"/>
                </a:schemeClr>
              </a:solidFill>
              <a:ln w="19050">
                <a:solidFill>
                  <a:schemeClr val="lt1"/>
                </a:solidFill>
              </a:ln>
              <a:effectLst/>
            </c:spPr>
          </c:dPt>
          <c:dPt>
            <c:idx val="7"/>
            <c:spPr>
              <a:solidFill>
                <a:schemeClr val="accent2">
                  <a:lumMod val="60000"/>
                </a:schemeClr>
              </a:solidFill>
              <a:ln w="19050">
                <a:solidFill>
                  <a:schemeClr val="lt1"/>
                </a:solidFill>
              </a:ln>
              <a:effectLst/>
            </c:spPr>
          </c:dPt>
          <c:dPt>
            <c:idx val="8"/>
            <c:spPr>
              <a:solidFill>
                <a:schemeClr val="accent3">
                  <a:lumMod val="60000"/>
                </a:schemeClr>
              </a:solidFill>
              <a:ln w="19050">
                <a:solidFill>
                  <a:schemeClr val="lt1"/>
                </a:solidFill>
              </a:ln>
              <a:effectLst/>
            </c:spPr>
          </c:dPt>
          <c:dPt>
            <c:idx val="9"/>
            <c:spPr>
              <a:solidFill>
                <a:schemeClr val="accent4">
                  <a:lumMod val="60000"/>
                </a:schemeClr>
              </a:solidFill>
              <a:ln w="19050">
                <a:solidFill>
                  <a:schemeClr val="lt1"/>
                </a:solidFill>
              </a:ln>
              <a:effectLst/>
            </c:spPr>
          </c:dPt>
          <c:dLbls>
            <c:dLbl>
              <c:idx val="1"/>
              <c:layout>
                <c:manualLayout>
                  <c:x val="-6.4268649400752623E-2"/>
                  <c:y val="0.14314624387601407"/>
                </c:manualLayout>
              </c:layout>
              <c:dLblPos val="bestFit"/>
              <c:showVal val="1"/>
              <c:showCatName val="1"/>
              <c:showPercent val="1"/>
              <c:extLst>
                <c:ext xmlns:c15="http://schemas.microsoft.com/office/drawing/2012/chart" uri="{CE6537A1-D6FC-4f65-9D91-7224C49458BB}"/>
              </c:extLst>
            </c:dLbl>
            <c:dLbl>
              <c:idx val="2"/>
              <c:layout>
                <c:manualLayout>
                  <c:x val="-6.5749533567340229E-2"/>
                  <c:y val="5.6760916257609005E-2"/>
                </c:manualLayout>
              </c:layout>
              <c:dLblPos val="bestFit"/>
              <c:showVal val="1"/>
              <c:showCatName val="1"/>
              <c:showPercent val="1"/>
              <c:extLst>
                <c:ext xmlns:c15="http://schemas.microsoft.com/office/drawing/2012/chart" uri="{CE6537A1-D6FC-4f65-9D91-7224C49458BB}"/>
              </c:extLst>
            </c:dLbl>
            <c:dLbl>
              <c:idx val="3"/>
              <c:layout>
                <c:manualLayout>
                  <c:x val="-0.13917417702305268"/>
                  <c:y val="9.2673550557633225E-2"/>
                </c:manualLayout>
              </c:layout>
              <c:dLblPos val="bestFit"/>
              <c:showVal val="1"/>
              <c:showCatName val="1"/>
              <c:showPercent val="1"/>
              <c:extLst>
                <c:ext xmlns:c15="http://schemas.microsoft.com/office/drawing/2012/chart" uri="{CE6537A1-D6FC-4f65-9D91-7224C49458BB}"/>
              </c:extLst>
            </c:dLbl>
            <c:dLbl>
              <c:idx val="5"/>
              <c:layout>
                <c:manualLayout>
                  <c:x val="-0.313817316510135"/>
                  <c:y val="0.13997079969397888"/>
                </c:manualLayout>
              </c:layout>
              <c:dLblPos val="bestFit"/>
              <c:showVal val="1"/>
              <c:showCatName val="1"/>
              <c:showPercent val="1"/>
              <c:extLst>
                <c:ext xmlns:c15="http://schemas.microsoft.com/office/drawing/2012/chart" uri="{CE6537A1-D6FC-4f65-9D91-7224C49458BB}"/>
              </c:extLst>
            </c:dLbl>
            <c:dLbl>
              <c:idx val="6"/>
              <c:layout>
                <c:manualLayout>
                  <c:x val="-0.34721974512222131"/>
                  <c:y val="5.7520029176546666E-2"/>
                </c:manualLayout>
              </c:layout>
              <c:dLblPos val="bestFit"/>
              <c:showVal val="1"/>
              <c:showCatName val="1"/>
              <c:showPercent val="1"/>
              <c:extLst>
                <c:ext xmlns:c15="http://schemas.microsoft.com/office/drawing/2012/chart" uri="{CE6537A1-D6FC-4f65-9D91-7224C49458BB}"/>
              </c:extLst>
            </c:dLbl>
            <c:dLbl>
              <c:idx val="7"/>
              <c:layout>
                <c:manualLayout>
                  <c:x val="-0.11735485248078929"/>
                  <c:y val="9.4295129797617578E-4"/>
                </c:manualLayout>
              </c:layout>
              <c:dLblPos val="bestFit"/>
              <c:showVal val="1"/>
              <c:showCatName val="1"/>
              <c:showPercent val="1"/>
              <c:extLst>
                <c:ext xmlns:c15="http://schemas.microsoft.com/office/drawing/2012/chart" uri="{CE6537A1-D6FC-4f65-9D91-7224C49458BB}"/>
              </c:extLst>
            </c:dLbl>
            <c:dLbl>
              <c:idx val="9"/>
              <c:layout>
                <c:manualLayout>
                  <c:x val="0.38217737090092685"/>
                  <c:y val="1.5087220767618795E-2"/>
                </c:manualLayout>
              </c:layout>
              <c:dLblPos val="bestFit"/>
              <c:showVal val="1"/>
              <c:showCatName val="1"/>
              <c:showPercent val="1"/>
              <c:extLst>
                <c:ext xmlns:c15="http://schemas.microsoft.com/office/drawing/2012/chart" uri="{CE6537A1-D6FC-4f65-9D91-7224C49458BB}"/>
              </c:extLst>
            </c:dLbl>
            <c:dLbl>
              <c:idx val="10"/>
              <c:layout>
                <c:manualLayout>
                  <c:x val="0.15890222306549057"/>
                  <c:y val="6.8324023607342604E-2"/>
                </c:manualLayout>
              </c:layout>
              <c:dLblPos val="bestFit"/>
              <c:showVal val="1"/>
              <c:showCatName val="1"/>
              <c:showPercent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IN" sz="900" b="0" i="0" u="none" strike="noStrike" kern="1200" baseline="0">
                    <a:solidFill>
                      <a:sysClr val="windowText" lastClr="000000"/>
                    </a:solidFill>
                    <a:latin typeface="+mn-lt"/>
                    <a:ea typeface="+mn-ea"/>
                    <a:cs typeface="+mn-cs"/>
                  </a:defRPr>
                </a:pPr>
                <a:endParaRPr lang="en-US"/>
              </a:p>
            </c:txPr>
            <c:dLblPos val="bestFit"/>
            <c:showVal val="1"/>
            <c:showCatName val="1"/>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'Graphs etc'!$B$6:$B$15</c:f>
              <c:strCache>
                <c:ptCount val="10"/>
                <c:pt idx="0">
                  <c:v>Domestic</c:v>
                </c:pt>
                <c:pt idx="1">
                  <c:v>OHOB</c:v>
                </c:pt>
                <c:pt idx="2">
                  <c:v>Commercial</c:v>
                </c:pt>
                <c:pt idx="3">
                  <c:v>Agriculture</c:v>
                </c:pt>
                <c:pt idx="4">
                  <c:v>Street lighting</c:v>
                </c:pt>
                <c:pt idx="5">
                  <c:v>LT Industrial+Water tank</c:v>
                </c:pt>
                <c:pt idx="6">
                  <c:v>Temporary supply - LT&amp;HT</c:v>
                </c:pt>
                <c:pt idx="7">
                  <c:v>HT-Industrial &amp; Commercial</c:v>
                </c:pt>
                <c:pt idx="8">
                  <c:v>HT-II Govt. &amp; Water Tank</c:v>
                </c:pt>
                <c:pt idx="9">
                  <c:v>HT-III EHT</c:v>
                </c:pt>
              </c:strCache>
            </c:strRef>
          </c:cat>
          <c:val>
            <c:numRef>
              <c:f>'Graphs etc'!$C$6:$C$15</c:f>
              <c:numCache>
                <c:formatCode>General</c:formatCode>
                <c:ptCount val="10"/>
                <c:pt idx="0">
                  <c:v>313367</c:v>
                </c:pt>
                <c:pt idx="1">
                  <c:v>35539</c:v>
                </c:pt>
                <c:pt idx="2">
                  <c:v>52087</c:v>
                </c:pt>
                <c:pt idx="3">
                  <c:v>6900</c:v>
                </c:pt>
                <c:pt idx="4">
                  <c:v>50250</c:v>
                </c:pt>
                <c:pt idx="5">
                  <c:v>6616</c:v>
                </c:pt>
                <c:pt idx="6">
                  <c:v>0</c:v>
                </c:pt>
                <c:pt idx="7">
                  <c:v>439</c:v>
                </c:pt>
                <c:pt idx="8">
                  <c:v>60</c:v>
                </c:pt>
                <c:pt idx="9">
                  <c:v>7</c:v>
                </c:pt>
              </c:numCache>
            </c:numRef>
          </c:val>
        </c:ser>
        <c:firstSliceAng val="0"/>
      </c:pie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6E6E27-EDEE-4BA2-ACA7-7A09699C0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
  <TotalTime>1</TotalTime>
  <Pages>1</Pages>
  <Words>17232</Words>
  <Characters>98229</Characters>
  <Application>Microsoft Office Word</Application>
  <DocSecurity>0</DocSecurity>
  <Lines>818</Lines>
  <Paragraphs>230</Paragraphs>
  <ScaleCrop>false</ScaleCrop>
  <HeadingPairs>
    <vt:vector size="2" baseType="variant">
      <vt:variant>
        <vt:lpstr>Title</vt:lpstr>
      </vt:variant>
      <vt:variant>
        <vt:i4>1</vt:i4>
      </vt:variant>
    </vt:vector>
  </HeadingPairs>
  <TitlesOfParts>
    <vt:vector size="1" baseType="lpstr">
      <vt:lpstr>Goa ARR FY 14</vt:lpstr>
    </vt:vector>
  </TitlesOfParts>
  <Company>Feedback Ventures Pvt Ltd</Company>
  <LinksUpToDate>false</LinksUpToDate>
  <CharactersWithSpaces>115231</CharactersWithSpaces>
  <SharedDoc>false</SharedDoc>
  <HLinks>
    <vt:vector size="936" baseType="variant">
      <vt:variant>
        <vt:i4>2031671</vt:i4>
      </vt:variant>
      <vt:variant>
        <vt:i4>941</vt:i4>
      </vt:variant>
      <vt:variant>
        <vt:i4>0</vt:i4>
      </vt:variant>
      <vt:variant>
        <vt:i4>5</vt:i4>
      </vt:variant>
      <vt:variant>
        <vt:lpwstr/>
      </vt:variant>
      <vt:variant>
        <vt:lpwstr>_Toc347401391</vt:lpwstr>
      </vt:variant>
      <vt:variant>
        <vt:i4>2031671</vt:i4>
      </vt:variant>
      <vt:variant>
        <vt:i4>935</vt:i4>
      </vt:variant>
      <vt:variant>
        <vt:i4>0</vt:i4>
      </vt:variant>
      <vt:variant>
        <vt:i4>5</vt:i4>
      </vt:variant>
      <vt:variant>
        <vt:lpwstr/>
      </vt:variant>
      <vt:variant>
        <vt:lpwstr>_Toc347401390</vt:lpwstr>
      </vt:variant>
      <vt:variant>
        <vt:i4>1966135</vt:i4>
      </vt:variant>
      <vt:variant>
        <vt:i4>929</vt:i4>
      </vt:variant>
      <vt:variant>
        <vt:i4>0</vt:i4>
      </vt:variant>
      <vt:variant>
        <vt:i4>5</vt:i4>
      </vt:variant>
      <vt:variant>
        <vt:lpwstr/>
      </vt:variant>
      <vt:variant>
        <vt:lpwstr>_Toc347401389</vt:lpwstr>
      </vt:variant>
      <vt:variant>
        <vt:i4>1966135</vt:i4>
      </vt:variant>
      <vt:variant>
        <vt:i4>923</vt:i4>
      </vt:variant>
      <vt:variant>
        <vt:i4>0</vt:i4>
      </vt:variant>
      <vt:variant>
        <vt:i4>5</vt:i4>
      </vt:variant>
      <vt:variant>
        <vt:lpwstr/>
      </vt:variant>
      <vt:variant>
        <vt:lpwstr>_Toc347401388</vt:lpwstr>
      </vt:variant>
      <vt:variant>
        <vt:i4>1966135</vt:i4>
      </vt:variant>
      <vt:variant>
        <vt:i4>917</vt:i4>
      </vt:variant>
      <vt:variant>
        <vt:i4>0</vt:i4>
      </vt:variant>
      <vt:variant>
        <vt:i4>5</vt:i4>
      </vt:variant>
      <vt:variant>
        <vt:lpwstr/>
      </vt:variant>
      <vt:variant>
        <vt:lpwstr>_Toc347401387</vt:lpwstr>
      </vt:variant>
      <vt:variant>
        <vt:i4>1966135</vt:i4>
      </vt:variant>
      <vt:variant>
        <vt:i4>911</vt:i4>
      </vt:variant>
      <vt:variant>
        <vt:i4>0</vt:i4>
      </vt:variant>
      <vt:variant>
        <vt:i4>5</vt:i4>
      </vt:variant>
      <vt:variant>
        <vt:lpwstr/>
      </vt:variant>
      <vt:variant>
        <vt:lpwstr>_Toc347401386</vt:lpwstr>
      </vt:variant>
      <vt:variant>
        <vt:i4>1966135</vt:i4>
      </vt:variant>
      <vt:variant>
        <vt:i4>905</vt:i4>
      </vt:variant>
      <vt:variant>
        <vt:i4>0</vt:i4>
      </vt:variant>
      <vt:variant>
        <vt:i4>5</vt:i4>
      </vt:variant>
      <vt:variant>
        <vt:lpwstr/>
      </vt:variant>
      <vt:variant>
        <vt:lpwstr>_Toc347401385</vt:lpwstr>
      </vt:variant>
      <vt:variant>
        <vt:i4>1966135</vt:i4>
      </vt:variant>
      <vt:variant>
        <vt:i4>899</vt:i4>
      </vt:variant>
      <vt:variant>
        <vt:i4>0</vt:i4>
      </vt:variant>
      <vt:variant>
        <vt:i4>5</vt:i4>
      </vt:variant>
      <vt:variant>
        <vt:lpwstr/>
      </vt:variant>
      <vt:variant>
        <vt:lpwstr>_Toc347401384</vt:lpwstr>
      </vt:variant>
      <vt:variant>
        <vt:i4>1966135</vt:i4>
      </vt:variant>
      <vt:variant>
        <vt:i4>893</vt:i4>
      </vt:variant>
      <vt:variant>
        <vt:i4>0</vt:i4>
      </vt:variant>
      <vt:variant>
        <vt:i4>5</vt:i4>
      </vt:variant>
      <vt:variant>
        <vt:lpwstr/>
      </vt:variant>
      <vt:variant>
        <vt:lpwstr>_Toc347401383</vt:lpwstr>
      </vt:variant>
      <vt:variant>
        <vt:i4>1966135</vt:i4>
      </vt:variant>
      <vt:variant>
        <vt:i4>887</vt:i4>
      </vt:variant>
      <vt:variant>
        <vt:i4>0</vt:i4>
      </vt:variant>
      <vt:variant>
        <vt:i4>5</vt:i4>
      </vt:variant>
      <vt:variant>
        <vt:lpwstr/>
      </vt:variant>
      <vt:variant>
        <vt:lpwstr>_Toc347401382</vt:lpwstr>
      </vt:variant>
      <vt:variant>
        <vt:i4>1966135</vt:i4>
      </vt:variant>
      <vt:variant>
        <vt:i4>881</vt:i4>
      </vt:variant>
      <vt:variant>
        <vt:i4>0</vt:i4>
      </vt:variant>
      <vt:variant>
        <vt:i4>5</vt:i4>
      </vt:variant>
      <vt:variant>
        <vt:lpwstr/>
      </vt:variant>
      <vt:variant>
        <vt:lpwstr>_Toc347401381</vt:lpwstr>
      </vt:variant>
      <vt:variant>
        <vt:i4>1966135</vt:i4>
      </vt:variant>
      <vt:variant>
        <vt:i4>875</vt:i4>
      </vt:variant>
      <vt:variant>
        <vt:i4>0</vt:i4>
      </vt:variant>
      <vt:variant>
        <vt:i4>5</vt:i4>
      </vt:variant>
      <vt:variant>
        <vt:lpwstr/>
      </vt:variant>
      <vt:variant>
        <vt:lpwstr>_Toc347401380</vt:lpwstr>
      </vt:variant>
      <vt:variant>
        <vt:i4>1114167</vt:i4>
      </vt:variant>
      <vt:variant>
        <vt:i4>869</vt:i4>
      </vt:variant>
      <vt:variant>
        <vt:i4>0</vt:i4>
      </vt:variant>
      <vt:variant>
        <vt:i4>5</vt:i4>
      </vt:variant>
      <vt:variant>
        <vt:lpwstr/>
      </vt:variant>
      <vt:variant>
        <vt:lpwstr>_Toc347401379</vt:lpwstr>
      </vt:variant>
      <vt:variant>
        <vt:i4>1114167</vt:i4>
      </vt:variant>
      <vt:variant>
        <vt:i4>863</vt:i4>
      </vt:variant>
      <vt:variant>
        <vt:i4>0</vt:i4>
      </vt:variant>
      <vt:variant>
        <vt:i4>5</vt:i4>
      </vt:variant>
      <vt:variant>
        <vt:lpwstr/>
      </vt:variant>
      <vt:variant>
        <vt:lpwstr>_Toc347401378</vt:lpwstr>
      </vt:variant>
      <vt:variant>
        <vt:i4>1114167</vt:i4>
      </vt:variant>
      <vt:variant>
        <vt:i4>854</vt:i4>
      </vt:variant>
      <vt:variant>
        <vt:i4>0</vt:i4>
      </vt:variant>
      <vt:variant>
        <vt:i4>5</vt:i4>
      </vt:variant>
      <vt:variant>
        <vt:lpwstr/>
      </vt:variant>
      <vt:variant>
        <vt:lpwstr>_Toc347401377</vt:lpwstr>
      </vt:variant>
      <vt:variant>
        <vt:i4>1114167</vt:i4>
      </vt:variant>
      <vt:variant>
        <vt:i4>848</vt:i4>
      </vt:variant>
      <vt:variant>
        <vt:i4>0</vt:i4>
      </vt:variant>
      <vt:variant>
        <vt:i4>5</vt:i4>
      </vt:variant>
      <vt:variant>
        <vt:lpwstr/>
      </vt:variant>
      <vt:variant>
        <vt:lpwstr>_Toc347401376</vt:lpwstr>
      </vt:variant>
      <vt:variant>
        <vt:i4>1114167</vt:i4>
      </vt:variant>
      <vt:variant>
        <vt:i4>839</vt:i4>
      </vt:variant>
      <vt:variant>
        <vt:i4>0</vt:i4>
      </vt:variant>
      <vt:variant>
        <vt:i4>5</vt:i4>
      </vt:variant>
      <vt:variant>
        <vt:lpwstr/>
      </vt:variant>
      <vt:variant>
        <vt:lpwstr>_Toc347401375</vt:lpwstr>
      </vt:variant>
      <vt:variant>
        <vt:i4>1114167</vt:i4>
      </vt:variant>
      <vt:variant>
        <vt:i4>833</vt:i4>
      </vt:variant>
      <vt:variant>
        <vt:i4>0</vt:i4>
      </vt:variant>
      <vt:variant>
        <vt:i4>5</vt:i4>
      </vt:variant>
      <vt:variant>
        <vt:lpwstr/>
      </vt:variant>
      <vt:variant>
        <vt:lpwstr>_Toc347401374</vt:lpwstr>
      </vt:variant>
      <vt:variant>
        <vt:i4>1114167</vt:i4>
      </vt:variant>
      <vt:variant>
        <vt:i4>827</vt:i4>
      </vt:variant>
      <vt:variant>
        <vt:i4>0</vt:i4>
      </vt:variant>
      <vt:variant>
        <vt:i4>5</vt:i4>
      </vt:variant>
      <vt:variant>
        <vt:lpwstr/>
      </vt:variant>
      <vt:variant>
        <vt:lpwstr>_Toc347401373</vt:lpwstr>
      </vt:variant>
      <vt:variant>
        <vt:i4>1114167</vt:i4>
      </vt:variant>
      <vt:variant>
        <vt:i4>821</vt:i4>
      </vt:variant>
      <vt:variant>
        <vt:i4>0</vt:i4>
      </vt:variant>
      <vt:variant>
        <vt:i4>5</vt:i4>
      </vt:variant>
      <vt:variant>
        <vt:lpwstr/>
      </vt:variant>
      <vt:variant>
        <vt:lpwstr>_Toc347401372</vt:lpwstr>
      </vt:variant>
      <vt:variant>
        <vt:i4>1114167</vt:i4>
      </vt:variant>
      <vt:variant>
        <vt:i4>815</vt:i4>
      </vt:variant>
      <vt:variant>
        <vt:i4>0</vt:i4>
      </vt:variant>
      <vt:variant>
        <vt:i4>5</vt:i4>
      </vt:variant>
      <vt:variant>
        <vt:lpwstr/>
      </vt:variant>
      <vt:variant>
        <vt:lpwstr>_Toc347401371</vt:lpwstr>
      </vt:variant>
      <vt:variant>
        <vt:i4>1114167</vt:i4>
      </vt:variant>
      <vt:variant>
        <vt:i4>809</vt:i4>
      </vt:variant>
      <vt:variant>
        <vt:i4>0</vt:i4>
      </vt:variant>
      <vt:variant>
        <vt:i4>5</vt:i4>
      </vt:variant>
      <vt:variant>
        <vt:lpwstr/>
      </vt:variant>
      <vt:variant>
        <vt:lpwstr>_Toc347401370</vt:lpwstr>
      </vt:variant>
      <vt:variant>
        <vt:i4>1048631</vt:i4>
      </vt:variant>
      <vt:variant>
        <vt:i4>803</vt:i4>
      </vt:variant>
      <vt:variant>
        <vt:i4>0</vt:i4>
      </vt:variant>
      <vt:variant>
        <vt:i4>5</vt:i4>
      </vt:variant>
      <vt:variant>
        <vt:lpwstr/>
      </vt:variant>
      <vt:variant>
        <vt:lpwstr>_Toc347401369</vt:lpwstr>
      </vt:variant>
      <vt:variant>
        <vt:i4>1048631</vt:i4>
      </vt:variant>
      <vt:variant>
        <vt:i4>797</vt:i4>
      </vt:variant>
      <vt:variant>
        <vt:i4>0</vt:i4>
      </vt:variant>
      <vt:variant>
        <vt:i4>5</vt:i4>
      </vt:variant>
      <vt:variant>
        <vt:lpwstr/>
      </vt:variant>
      <vt:variant>
        <vt:lpwstr>_Toc347401368</vt:lpwstr>
      </vt:variant>
      <vt:variant>
        <vt:i4>1048631</vt:i4>
      </vt:variant>
      <vt:variant>
        <vt:i4>791</vt:i4>
      </vt:variant>
      <vt:variant>
        <vt:i4>0</vt:i4>
      </vt:variant>
      <vt:variant>
        <vt:i4>5</vt:i4>
      </vt:variant>
      <vt:variant>
        <vt:lpwstr/>
      </vt:variant>
      <vt:variant>
        <vt:lpwstr>_Toc347401367</vt:lpwstr>
      </vt:variant>
      <vt:variant>
        <vt:i4>1048631</vt:i4>
      </vt:variant>
      <vt:variant>
        <vt:i4>785</vt:i4>
      </vt:variant>
      <vt:variant>
        <vt:i4>0</vt:i4>
      </vt:variant>
      <vt:variant>
        <vt:i4>5</vt:i4>
      </vt:variant>
      <vt:variant>
        <vt:lpwstr/>
      </vt:variant>
      <vt:variant>
        <vt:lpwstr>_Toc347401366</vt:lpwstr>
      </vt:variant>
      <vt:variant>
        <vt:i4>1048631</vt:i4>
      </vt:variant>
      <vt:variant>
        <vt:i4>779</vt:i4>
      </vt:variant>
      <vt:variant>
        <vt:i4>0</vt:i4>
      </vt:variant>
      <vt:variant>
        <vt:i4>5</vt:i4>
      </vt:variant>
      <vt:variant>
        <vt:lpwstr/>
      </vt:variant>
      <vt:variant>
        <vt:lpwstr>_Toc347401365</vt:lpwstr>
      </vt:variant>
      <vt:variant>
        <vt:i4>1048631</vt:i4>
      </vt:variant>
      <vt:variant>
        <vt:i4>773</vt:i4>
      </vt:variant>
      <vt:variant>
        <vt:i4>0</vt:i4>
      </vt:variant>
      <vt:variant>
        <vt:i4>5</vt:i4>
      </vt:variant>
      <vt:variant>
        <vt:lpwstr/>
      </vt:variant>
      <vt:variant>
        <vt:lpwstr>_Toc347401364</vt:lpwstr>
      </vt:variant>
      <vt:variant>
        <vt:i4>1048631</vt:i4>
      </vt:variant>
      <vt:variant>
        <vt:i4>767</vt:i4>
      </vt:variant>
      <vt:variant>
        <vt:i4>0</vt:i4>
      </vt:variant>
      <vt:variant>
        <vt:i4>5</vt:i4>
      </vt:variant>
      <vt:variant>
        <vt:lpwstr/>
      </vt:variant>
      <vt:variant>
        <vt:lpwstr>_Toc347401363</vt:lpwstr>
      </vt:variant>
      <vt:variant>
        <vt:i4>1048631</vt:i4>
      </vt:variant>
      <vt:variant>
        <vt:i4>761</vt:i4>
      </vt:variant>
      <vt:variant>
        <vt:i4>0</vt:i4>
      </vt:variant>
      <vt:variant>
        <vt:i4>5</vt:i4>
      </vt:variant>
      <vt:variant>
        <vt:lpwstr/>
      </vt:variant>
      <vt:variant>
        <vt:lpwstr>_Toc347401362</vt:lpwstr>
      </vt:variant>
      <vt:variant>
        <vt:i4>1048631</vt:i4>
      </vt:variant>
      <vt:variant>
        <vt:i4>755</vt:i4>
      </vt:variant>
      <vt:variant>
        <vt:i4>0</vt:i4>
      </vt:variant>
      <vt:variant>
        <vt:i4>5</vt:i4>
      </vt:variant>
      <vt:variant>
        <vt:lpwstr/>
      </vt:variant>
      <vt:variant>
        <vt:lpwstr>_Toc347401361</vt:lpwstr>
      </vt:variant>
      <vt:variant>
        <vt:i4>1048631</vt:i4>
      </vt:variant>
      <vt:variant>
        <vt:i4>749</vt:i4>
      </vt:variant>
      <vt:variant>
        <vt:i4>0</vt:i4>
      </vt:variant>
      <vt:variant>
        <vt:i4>5</vt:i4>
      </vt:variant>
      <vt:variant>
        <vt:lpwstr/>
      </vt:variant>
      <vt:variant>
        <vt:lpwstr>_Toc347401360</vt:lpwstr>
      </vt:variant>
      <vt:variant>
        <vt:i4>1245239</vt:i4>
      </vt:variant>
      <vt:variant>
        <vt:i4>743</vt:i4>
      </vt:variant>
      <vt:variant>
        <vt:i4>0</vt:i4>
      </vt:variant>
      <vt:variant>
        <vt:i4>5</vt:i4>
      </vt:variant>
      <vt:variant>
        <vt:lpwstr/>
      </vt:variant>
      <vt:variant>
        <vt:lpwstr>_Toc347401359</vt:lpwstr>
      </vt:variant>
      <vt:variant>
        <vt:i4>1245239</vt:i4>
      </vt:variant>
      <vt:variant>
        <vt:i4>737</vt:i4>
      </vt:variant>
      <vt:variant>
        <vt:i4>0</vt:i4>
      </vt:variant>
      <vt:variant>
        <vt:i4>5</vt:i4>
      </vt:variant>
      <vt:variant>
        <vt:lpwstr/>
      </vt:variant>
      <vt:variant>
        <vt:lpwstr>_Toc347401358</vt:lpwstr>
      </vt:variant>
      <vt:variant>
        <vt:i4>1245239</vt:i4>
      </vt:variant>
      <vt:variant>
        <vt:i4>731</vt:i4>
      </vt:variant>
      <vt:variant>
        <vt:i4>0</vt:i4>
      </vt:variant>
      <vt:variant>
        <vt:i4>5</vt:i4>
      </vt:variant>
      <vt:variant>
        <vt:lpwstr/>
      </vt:variant>
      <vt:variant>
        <vt:lpwstr>_Toc347401357</vt:lpwstr>
      </vt:variant>
      <vt:variant>
        <vt:i4>1245239</vt:i4>
      </vt:variant>
      <vt:variant>
        <vt:i4>725</vt:i4>
      </vt:variant>
      <vt:variant>
        <vt:i4>0</vt:i4>
      </vt:variant>
      <vt:variant>
        <vt:i4>5</vt:i4>
      </vt:variant>
      <vt:variant>
        <vt:lpwstr/>
      </vt:variant>
      <vt:variant>
        <vt:lpwstr>_Toc347401356</vt:lpwstr>
      </vt:variant>
      <vt:variant>
        <vt:i4>1245239</vt:i4>
      </vt:variant>
      <vt:variant>
        <vt:i4>719</vt:i4>
      </vt:variant>
      <vt:variant>
        <vt:i4>0</vt:i4>
      </vt:variant>
      <vt:variant>
        <vt:i4>5</vt:i4>
      </vt:variant>
      <vt:variant>
        <vt:lpwstr/>
      </vt:variant>
      <vt:variant>
        <vt:lpwstr>_Toc347401355</vt:lpwstr>
      </vt:variant>
      <vt:variant>
        <vt:i4>1245239</vt:i4>
      </vt:variant>
      <vt:variant>
        <vt:i4>713</vt:i4>
      </vt:variant>
      <vt:variant>
        <vt:i4>0</vt:i4>
      </vt:variant>
      <vt:variant>
        <vt:i4>5</vt:i4>
      </vt:variant>
      <vt:variant>
        <vt:lpwstr/>
      </vt:variant>
      <vt:variant>
        <vt:lpwstr>_Toc347401354</vt:lpwstr>
      </vt:variant>
      <vt:variant>
        <vt:i4>1245239</vt:i4>
      </vt:variant>
      <vt:variant>
        <vt:i4>707</vt:i4>
      </vt:variant>
      <vt:variant>
        <vt:i4>0</vt:i4>
      </vt:variant>
      <vt:variant>
        <vt:i4>5</vt:i4>
      </vt:variant>
      <vt:variant>
        <vt:lpwstr/>
      </vt:variant>
      <vt:variant>
        <vt:lpwstr>_Toc347401353</vt:lpwstr>
      </vt:variant>
      <vt:variant>
        <vt:i4>1245239</vt:i4>
      </vt:variant>
      <vt:variant>
        <vt:i4>701</vt:i4>
      </vt:variant>
      <vt:variant>
        <vt:i4>0</vt:i4>
      </vt:variant>
      <vt:variant>
        <vt:i4>5</vt:i4>
      </vt:variant>
      <vt:variant>
        <vt:lpwstr/>
      </vt:variant>
      <vt:variant>
        <vt:lpwstr>_Toc347401352</vt:lpwstr>
      </vt:variant>
      <vt:variant>
        <vt:i4>1245239</vt:i4>
      </vt:variant>
      <vt:variant>
        <vt:i4>695</vt:i4>
      </vt:variant>
      <vt:variant>
        <vt:i4>0</vt:i4>
      </vt:variant>
      <vt:variant>
        <vt:i4>5</vt:i4>
      </vt:variant>
      <vt:variant>
        <vt:lpwstr/>
      </vt:variant>
      <vt:variant>
        <vt:lpwstr>_Toc347401351</vt:lpwstr>
      </vt:variant>
      <vt:variant>
        <vt:i4>1245239</vt:i4>
      </vt:variant>
      <vt:variant>
        <vt:i4>689</vt:i4>
      </vt:variant>
      <vt:variant>
        <vt:i4>0</vt:i4>
      </vt:variant>
      <vt:variant>
        <vt:i4>5</vt:i4>
      </vt:variant>
      <vt:variant>
        <vt:lpwstr/>
      </vt:variant>
      <vt:variant>
        <vt:lpwstr>_Toc347401350</vt:lpwstr>
      </vt:variant>
      <vt:variant>
        <vt:i4>1179703</vt:i4>
      </vt:variant>
      <vt:variant>
        <vt:i4>683</vt:i4>
      </vt:variant>
      <vt:variant>
        <vt:i4>0</vt:i4>
      </vt:variant>
      <vt:variant>
        <vt:i4>5</vt:i4>
      </vt:variant>
      <vt:variant>
        <vt:lpwstr/>
      </vt:variant>
      <vt:variant>
        <vt:lpwstr>_Toc347401349</vt:lpwstr>
      </vt:variant>
      <vt:variant>
        <vt:i4>1179703</vt:i4>
      </vt:variant>
      <vt:variant>
        <vt:i4>677</vt:i4>
      </vt:variant>
      <vt:variant>
        <vt:i4>0</vt:i4>
      </vt:variant>
      <vt:variant>
        <vt:i4>5</vt:i4>
      </vt:variant>
      <vt:variant>
        <vt:lpwstr/>
      </vt:variant>
      <vt:variant>
        <vt:lpwstr>_Toc347401348</vt:lpwstr>
      </vt:variant>
      <vt:variant>
        <vt:i4>1179703</vt:i4>
      </vt:variant>
      <vt:variant>
        <vt:i4>671</vt:i4>
      </vt:variant>
      <vt:variant>
        <vt:i4>0</vt:i4>
      </vt:variant>
      <vt:variant>
        <vt:i4>5</vt:i4>
      </vt:variant>
      <vt:variant>
        <vt:lpwstr/>
      </vt:variant>
      <vt:variant>
        <vt:lpwstr>_Toc347401347</vt:lpwstr>
      </vt:variant>
      <vt:variant>
        <vt:i4>1179703</vt:i4>
      </vt:variant>
      <vt:variant>
        <vt:i4>665</vt:i4>
      </vt:variant>
      <vt:variant>
        <vt:i4>0</vt:i4>
      </vt:variant>
      <vt:variant>
        <vt:i4>5</vt:i4>
      </vt:variant>
      <vt:variant>
        <vt:lpwstr/>
      </vt:variant>
      <vt:variant>
        <vt:lpwstr>_Toc347401346</vt:lpwstr>
      </vt:variant>
      <vt:variant>
        <vt:i4>1179703</vt:i4>
      </vt:variant>
      <vt:variant>
        <vt:i4>659</vt:i4>
      </vt:variant>
      <vt:variant>
        <vt:i4>0</vt:i4>
      </vt:variant>
      <vt:variant>
        <vt:i4>5</vt:i4>
      </vt:variant>
      <vt:variant>
        <vt:lpwstr/>
      </vt:variant>
      <vt:variant>
        <vt:lpwstr>_Toc347401345</vt:lpwstr>
      </vt:variant>
      <vt:variant>
        <vt:i4>1179703</vt:i4>
      </vt:variant>
      <vt:variant>
        <vt:i4>653</vt:i4>
      </vt:variant>
      <vt:variant>
        <vt:i4>0</vt:i4>
      </vt:variant>
      <vt:variant>
        <vt:i4>5</vt:i4>
      </vt:variant>
      <vt:variant>
        <vt:lpwstr/>
      </vt:variant>
      <vt:variant>
        <vt:lpwstr>_Toc347401344</vt:lpwstr>
      </vt:variant>
      <vt:variant>
        <vt:i4>1179703</vt:i4>
      </vt:variant>
      <vt:variant>
        <vt:i4>647</vt:i4>
      </vt:variant>
      <vt:variant>
        <vt:i4>0</vt:i4>
      </vt:variant>
      <vt:variant>
        <vt:i4>5</vt:i4>
      </vt:variant>
      <vt:variant>
        <vt:lpwstr/>
      </vt:variant>
      <vt:variant>
        <vt:lpwstr>_Toc347401343</vt:lpwstr>
      </vt:variant>
      <vt:variant>
        <vt:i4>1179703</vt:i4>
      </vt:variant>
      <vt:variant>
        <vt:i4>641</vt:i4>
      </vt:variant>
      <vt:variant>
        <vt:i4>0</vt:i4>
      </vt:variant>
      <vt:variant>
        <vt:i4>5</vt:i4>
      </vt:variant>
      <vt:variant>
        <vt:lpwstr/>
      </vt:variant>
      <vt:variant>
        <vt:lpwstr>_Toc347401342</vt:lpwstr>
      </vt:variant>
      <vt:variant>
        <vt:i4>1179703</vt:i4>
      </vt:variant>
      <vt:variant>
        <vt:i4>635</vt:i4>
      </vt:variant>
      <vt:variant>
        <vt:i4>0</vt:i4>
      </vt:variant>
      <vt:variant>
        <vt:i4>5</vt:i4>
      </vt:variant>
      <vt:variant>
        <vt:lpwstr/>
      </vt:variant>
      <vt:variant>
        <vt:lpwstr>_Toc347401341</vt:lpwstr>
      </vt:variant>
      <vt:variant>
        <vt:i4>1179703</vt:i4>
      </vt:variant>
      <vt:variant>
        <vt:i4>629</vt:i4>
      </vt:variant>
      <vt:variant>
        <vt:i4>0</vt:i4>
      </vt:variant>
      <vt:variant>
        <vt:i4>5</vt:i4>
      </vt:variant>
      <vt:variant>
        <vt:lpwstr/>
      </vt:variant>
      <vt:variant>
        <vt:lpwstr>_Toc347401340</vt:lpwstr>
      </vt:variant>
      <vt:variant>
        <vt:i4>1376311</vt:i4>
      </vt:variant>
      <vt:variant>
        <vt:i4>623</vt:i4>
      </vt:variant>
      <vt:variant>
        <vt:i4>0</vt:i4>
      </vt:variant>
      <vt:variant>
        <vt:i4>5</vt:i4>
      </vt:variant>
      <vt:variant>
        <vt:lpwstr/>
      </vt:variant>
      <vt:variant>
        <vt:lpwstr>_Toc347401339</vt:lpwstr>
      </vt:variant>
      <vt:variant>
        <vt:i4>1376311</vt:i4>
      </vt:variant>
      <vt:variant>
        <vt:i4>617</vt:i4>
      </vt:variant>
      <vt:variant>
        <vt:i4>0</vt:i4>
      </vt:variant>
      <vt:variant>
        <vt:i4>5</vt:i4>
      </vt:variant>
      <vt:variant>
        <vt:lpwstr/>
      </vt:variant>
      <vt:variant>
        <vt:lpwstr>_Toc347401338</vt:lpwstr>
      </vt:variant>
      <vt:variant>
        <vt:i4>1376311</vt:i4>
      </vt:variant>
      <vt:variant>
        <vt:i4>611</vt:i4>
      </vt:variant>
      <vt:variant>
        <vt:i4>0</vt:i4>
      </vt:variant>
      <vt:variant>
        <vt:i4>5</vt:i4>
      </vt:variant>
      <vt:variant>
        <vt:lpwstr/>
      </vt:variant>
      <vt:variant>
        <vt:lpwstr>_Toc347401337</vt:lpwstr>
      </vt:variant>
      <vt:variant>
        <vt:i4>1376311</vt:i4>
      </vt:variant>
      <vt:variant>
        <vt:i4>605</vt:i4>
      </vt:variant>
      <vt:variant>
        <vt:i4>0</vt:i4>
      </vt:variant>
      <vt:variant>
        <vt:i4>5</vt:i4>
      </vt:variant>
      <vt:variant>
        <vt:lpwstr/>
      </vt:variant>
      <vt:variant>
        <vt:lpwstr>_Toc347401336</vt:lpwstr>
      </vt:variant>
      <vt:variant>
        <vt:i4>1376311</vt:i4>
      </vt:variant>
      <vt:variant>
        <vt:i4>599</vt:i4>
      </vt:variant>
      <vt:variant>
        <vt:i4>0</vt:i4>
      </vt:variant>
      <vt:variant>
        <vt:i4>5</vt:i4>
      </vt:variant>
      <vt:variant>
        <vt:lpwstr/>
      </vt:variant>
      <vt:variant>
        <vt:lpwstr>_Toc347401335</vt:lpwstr>
      </vt:variant>
      <vt:variant>
        <vt:i4>1376311</vt:i4>
      </vt:variant>
      <vt:variant>
        <vt:i4>593</vt:i4>
      </vt:variant>
      <vt:variant>
        <vt:i4>0</vt:i4>
      </vt:variant>
      <vt:variant>
        <vt:i4>5</vt:i4>
      </vt:variant>
      <vt:variant>
        <vt:lpwstr/>
      </vt:variant>
      <vt:variant>
        <vt:lpwstr>_Toc347401334</vt:lpwstr>
      </vt:variant>
      <vt:variant>
        <vt:i4>1376311</vt:i4>
      </vt:variant>
      <vt:variant>
        <vt:i4>587</vt:i4>
      </vt:variant>
      <vt:variant>
        <vt:i4>0</vt:i4>
      </vt:variant>
      <vt:variant>
        <vt:i4>5</vt:i4>
      </vt:variant>
      <vt:variant>
        <vt:lpwstr/>
      </vt:variant>
      <vt:variant>
        <vt:lpwstr>_Toc347401333</vt:lpwstr>
      </vt:variant>
      <vt:variant>
        <vt:i4>1376311</vt:i4>
      </vt:variant>
      <vt:variant>
        <vt:i4>581</vt:i4>
      </vt:variant>
      <vt:variant>
        <vt:i4>0</vt:i4>
      </vt:variant>
      <vt:variant>
        <vt:i4>5</vt:i4>
      </vt:variant>
      <vt:variant>
        <vt:lpwstr/>
      </vt:variant>
      <vt:variant>
        <vt:lpwstr>_Toc347401332</vt:lpwstr>
      </vt:variant>
      <vt:variant>
        <vt:i4>1376311</vt:i4>
      </vt:variant>
      <vt:variant>
        <vt:i4>575</vt:i4>
      </vt:variant>
      <vt:variant>
        <vt:i4>0</vt:i4>
      </vt:variant>
      <vt:variant>
        <vt:i4>5</vt:i4>
      </vt:variant>
      <vt:variant>
        <vt:lpwstr/>
      </vt:variant>
      <vt:variant>
        <vt:lpwstr>_Toc347401331</vt:lpwstr>
      </vt:variant>
      <vt:variant>
        <vt:i4>1376311</vt:i4>
      </vt:variant>
      <vt:variant>
        <vt:i4>569</vt:i4>
      </vt:variant>
      <vt:variant>
        <vt:i4>0</vt:i4>
      </vt:variant>
      <vt:variant>
        <vt:i4>5</vt:i4>
      </vt:variant>
      <vt:variant>
        <vt:lpwstr/>
      </vt:variant>
      <vt:variant>
        <vt:lpwstr>_Toc347401330</vt:lpwstr>
      </vt:variant>
      <vt:variant>
        <vt:i4>1310775</vt:i4>
      </vt:variant>
      <vt:variant>
        <vt:i4>563</vt:i4>
      </vt:variant>
      <vt:variant>
        <vt:i4>0</vt:i4>
      </vt:variant>
      <vt:variant>
        <vt:i4>5</vt:i4>
      </vt:variant>
      <vt:variant>
        <vt:lpwstr/>
      </vt:variant>
      <vt:variant>
        <vt:lpwstr>_Toc347401329</vt:lpwstr>
      </vt:variant>
      <vt:variant>
        <vt:i4>1310775</vt:i4>
      </vt:variant>
      <vt:variant>
        <vt:i4>557</vt:i4>
      </vt:variant>
      <vt:variant>
        <vt:i4>0</vt:i4>
      </vt:variant>
      <vt:variant>
        <vt:i4>5</vt:i4>
      </vt:variant>
      <vt:variant>
        <vt:lpwstr/>
      </vt:variant>
      <vt:variant>
        <vt:lpwstr>_Toc347401328</vt:lpwstr>
      </vt:variant>
      <vt:variant>
        <vt:i4>1310775</vt:i4>
      </vt:variant>
      <vt:variant>
        <vt:i4>551</vt:i4>
      </vt:variant>
      <vt:variant>
        <vt:i4>0</vt:i4>
      </vt:variant>
      <vt:variant>
        <vt:i4>5</vt:i4>
      </vt:variant>
      <vt:variant>
        <vt:lpwstr/>
      </vt:variant>
      <vt:variant>
        <vt:lpwstr>_Toc347401327</vt:lpwstr>
      </vt:variant>
      <vt:variant>
        <vt:i4>1310775</vt:i4>
      </vt:variant>
      <vt:variant>
        <vt:i4>545</vt:i4>
      </vt:variant>
      <vt:variant>
        <vt:i4>0</vt:i4>
      </vt:variant>
      <vt:variant>
        <vt:i4>5</vt:i4>
      </vt:variant>
      <vt:variant>
        <vt:lpwstr/>
      </vt:variant>
      <vt:variant>
        <vt:lpwstr>_Toc347401326</vt:lpwstr>
      </vt:variant>
      <vt:variant>
        <vt:i4>1310775</vt:i4>
      </vt:variant>
      <vt:variant>
        <vt:i4>539</vt:i4>
      </vt:variant>
      <vt:variant>
        <vt:i4>0</vt:i4>
      </vt:variant>
      <vt:variant>
        <vt:i4>5</vt:i4>
      </vt:variant>
      <vt:variant>
        <vt:lpwstr/>
      </vt:variant>
      <vt:variant>
        <vt:lpwstr>_Toc347401325</vt:lpwstr>
      </vt:variant>
      <vt:variant>
        <vt:i4>1310775</vt:i4>
      </vt:variant>
      <vt:variant>
        <vt:i4>533</vt:i4>
      </vt:variant>
      <vt:variant>
        <vt:i4>0</vt:i4>
      </vt:variant>
      <vt:variant>
        <vt:i4>5</vt:i4>
      </vt:variant>
      <vt:variant>
        <vt:lpwstr/>
      </vt:variant>
      <vt:variant>
        <vt:lpwstr>_Toc347401324</vt:lpwstr>
      </vt:variant>
      <vt:variant>
        <vt:i4>1310775</vt:i4>
      </vt:variant>
      <vt:variant>
        <vt:i4>527</vt:i4>
      </vt:variant>
      <vt:variant>
        <vt:i4>0</vt:i4>
      </vt:variant>
      <vt:variant>
        <vt:i4>5</vt:i4>
      </vt:variant>
      <vt:variant>
        <vt:lpwstr/>
      </vt:variant>
      <vt:variant>
        <vt:lpwstr>_Toc347401323</vt:lpwstr>
      </vt:variant>
      <vt:variant>
        <vt:i4>1310775</vt:i4>
      </vt:variant>
      <vt:variant>
        <vt:i4>521</vt:i4>
      </vt:variant>
      <vt:variant>
        <vt:i4>0</vt:i4>
      </vt:variant>
      <vt:variant>
        <vt:i4>5</vt:i4>
      </vt:variant>
      <vt:variant>
        <vt:lpwstr/>
      </vt:variant>
      <vt:variant>
        <vt:lpwstr>_Toc347401322</vt:lpwstr>
      </vt:variant>
      <vt:variant>
        <vt:i4>1310775</vt:i4>
      </vt:variant>
      <vt:variant>
        <vt:i4>515</vt:i4>
      </vt:variant>
      <vt:variant>
        <vt:i4>0</vt:i4>
      </vt:variant>
      <vt:variant>
        <vt:i4>5</vt:i4>
      </vt:variant>
      <vt:variant>
        <vt:lpwstr/>
      </vt:variant>
      <vt:variant>
        <vt:lpwstr>_Toc347401321</vt:lpwstr>
      </vt:variant>
      <vt:variant>
        <vt:i4>1310775</vt:i4>
      </vt:variant>
      <vt:variant>
        <vt:i4>509</vt:i4>
      </vt:variant>
      <vt:variant>
        <vt:i4>0</vt:i4>
      </vt:variant>
      <vt:variant>
        <vt:i4>5</vt:i4>
      </vt:variant>
      <vt:variant>
        <vt:lpwstr/>
      </vt:variant>
      <vt:variant>
        <vt:lpwstr>_Toc347401320</vt:lpwstr>
      </vt:variant>
      <vt:variant>
        <vt:i4>1507383</vt:i4>
      </vt:variant>
      <vt:variant>
        <vt:i4>503</vt:i4>
      </vt:variant>
      <vt:variant>
        <vt:i4>0</vt:i4>
      </vt:variant>
      <vt:variant>
        <vt:i4>5</vt:i4>
      </vt:variant>
      <vt:variant>
        <vt:lpwstr/>
      </vt:variant>
      <vt:variant>
        <vt:lpwstr>_Toc347401319</vt:lpwstr>
      </vt:variant>
      <vt:variant>
        <vt:i4>1507383</vt:i4>
      </vt:variant>
      <vt:variant>
        <vt:i4>497</vt:i4>
      </vt:variant>
      <vt:variant>
        <vt:i4>0</vt:i4>
      </vt:variant>
      <vt:variant>
        <vt:i4>5</vt:i4>
      </vt:variant>
      <vt:variant>
        <vt:lpwstr/>
      </vt:variant>
      <vt:variant>
        <vt:lpwstr>_Toc347401318</vt:lpwstr>
      </vt:variant>
      <vt:variant>
        <vt:i4>1507383</vt:i4>
      </vt:variant>
      <vt:variant>
        <vt:i4>491</vt:i4>
      </vt:variant>
      <vt:variant>
        <vt:i4>0</vt:i4>
      </vt:variant>
      <vt:variant>
        <vt:i4>5</vt:i4>
      </vt:variant>
      <vt:variant>
        <vt:lpwstr/>
      </vt:variant>
      <vt:variant>
        <vt:lpwstr>_Toc347401317</vt:lpwstr>
      </vt:variant>
      <vt:variant>
        <vt:i4>1507383</vt:i4>
      </vt:variant>
      <vt:variant>
        <vt:i4>485</vt:i4>
      </vt:variant>
      <vt:variant>
        <vt:i4>0</vt:i4>
      </vt:variant>
      <vt:variant>
        <vt:i4>5</vt:i4>
      </vt:variant>
      <vt:variant>
        <vt:lpwstr/>
      </vt:variant>
      <vt:variant>
        <vt:lpwstr>_Toc347401316</vt:lpwstr>
      </vt:variant>
      <vt:variant>
        <vt:i4>1507383</vt:i4>
      </vt:variant>
      <vt:variant>
        <vt:i4>479</vt:i4>
      </vt:variant>
      <vt:variant>
        <vt:i4>0</vt:i4>
      </vt:variant>
      <vt:variant>
        <vt:i4>5</vt:i4>
      </vt:variant>
      <vt:variant>
        <vt:lpwstr/>
      </vt:variant>
      <vt:variant>
        <vt:lpwstr>_Toc347401315</vt:lpwstr>
      </vt:variant>
      <vt:variant>
        <vt:i4>1507383</vt:i4>
      </vt:variant>
      <vt:variant>
        <vt:i4>473</vt:i4>
      </vt:variant>
      <vt:variant>
        <vt:i4>0</vt:i4>
      </vt:variant>
      <vt:variant>
        <vt:i4>5</vt:i4>
      </vt:variant>
      <vt:variant>
        <vt:lpwstr/>
      </vt:variant>
      <vt:variant>
        <vt:lpwstr>_Toc347401314</vt:lpwstr>
      </vt:variant>
      <vt:variant>
        <vt:i4>1507383</vt:i4>
      </vt:variant>
      <vt:variant>
        <vt:i4>467</vt:i4>
      </vt:variant>
      <vt:variant>
        <vt:i4>0</vt:i4>
      </vt:variant>
      <vt:variant>
        <vt:i4>5</vt:i4>
      </vt:variant>
      <vt:variant>
        <vt:lpwstr/>
      </vt:variant>
      <vt:variant>
        <vt:lpwstr>_Toc347401313</vt:lpwstr>
      </vt:variant>
      <vt:variant>
        <vt:i4>1507383</vt:i4>
      </vt:variant>
      <vt:variant>
        <vt:i4>461</vt:i4>
      </vt:variant>
      <vt:variant>
        <vt:i4>0</vt:i4>
      </vt:variant>
      <vt:variant>
        <vt:i4>5</vt:i4>
      </vt:variant>
      <vt:variant>
        <vt:lpwstr/>
      </vt:variant>
      <vt:variant>
        <vt:lpwstr>_Toc347401312</vt:lpwstr>
      </vt:variant>
      <vt:variant>
        <vt:i4>1507383</vt:i4>
      </vt:variant>
      <vt:variant>
        <vt:i4>455</vt:i4>
      </vt:variant>
      <vt:variant>
        <vt:i4>0</vt:i4>
      </vt:variant>
      <vt:variant>
        <vt:i4>5</vt:i4>
      </vt:variant>
      <vt:variant>
        <vt:lpwstr/>
      </vt:variant>
      <vt:variant>
        <vt:lpwstr>_Toc347401311</vt:lpwstr>
      </vt:variant>
      <vt:variant>
        <vt:i4>1507383</vt:i4>
      </vt:variant>
      <vt:variant>
        <vt:i4>449</vt:i4>
      </vt:variant>
      <vt:variant>
        <vt:i4>0</vt:i4>
      </vt:variant>
      <vt:variant>
        <vt:i4>5</vt:i4>
      </vt:variant>
      <vt:variant>
        <vt:lpwstr/>
      </vt:variant>
      <vt:variant>
        <vt:lpwstr>_Toc347401310</vt:lpwstr>
      </vt:variant>
      <vt:variant>
        <vt:i4>1441847</vt:i4>
      </vt:variant>
      <vt:variant>
        <vt:i4>440</vt:i4>
      </vt:variant>
      <vt:variant>
        <vt:i4>0</vt:i4>
      </vt:variant>
      <vt:variant>
        <vt:i4>5</vt:i4>
      </vt:variant>
      <vt:variant>
        <vt:lpwstr/>
      </vt:variant>
      <vt:variant>
        <vt:lpwstr>_Toc347401309</vt:lpwstr>
      </vt:variant>
      <vt:variant>
        <vt:i4>1441847</vt:i4>
      </vt:variant>
      <vt:variant>
        <vt:i4>434</vt:i4>
      </vt:variant>
      <vt:variant>
        <vt:i4>0</vt:i4>
      </vt:variant>
      <vt:variant>
        <vt:i4>5</vt:i4>
      </vt:variant>
      <vt:variant>
        <vt:lpwstr/>
      </vt:variant>
      <vt:variant>
        <vt:lpwstr>_Toc347401308</vt:lpwstr>
      </vt:variant>
      <vt:variant>
        <vt:i4>1441847</vt:i4>
      </vt:variant>
      <vt:variant>
        <vt:i4>428</vt:i4>
      </vt:variant>
      <vt:variant>
        <vt:i4>0</vt:i4>
      </vt:variant>
      <vt:variant>
        <vt:i4>5</vt:i4>
      </vt:variant>
      <vt:variant>
        <vt:lpwstr/>
      </vt:variant>
      <vt:variant>
        <vt:lpwstr>_Toc347401307</vt:lpwstr>
      </vt:variant>
      <vt:variant>
        <vt:i4>1441847</vt:i4>
      </vt:variant>
      <vt:variant>
        <vt:i4>422</vt:i4>
      </vt:variant>
      <vt:variant>
        <vt:i4>0</vt:i4>
      </vt:variant>
      <vt:variant>
        <vt:i4>5</vt:i4>
      </vt:variant>
      <vt:variant>
        <vt:lpwstr/>
      </vt:variant>
      <vt:variant>
        <vt:lpwstr>_Toc347401306</vt:lpwstr>
      </vt:variant>
      <vt:variant>
        <vt:i4>1441847</vt:i4>
      </vt:variant>
      <vt:variant>
        <vt:i4>416</vt:i4>
      </vt:variant>
      <vt:variant>
        <vt:i4>0</vt:i4>
      </vt:variant>
      <vt:variant>
        <vt:i4>5</vt:i4>
      </vt:variant>
      <vt:variant>
        <vt:lpwstr/>
      </vt:variant>
      <vt:variant>
        <vt:lpwstr>_Toc347401305</vt:lpwstr>
      </vt:variant>
      <vt:variant>
        <vt:i4>1441847</vt:i4>
      </vt:variant>
      <vt:variant>
        <vt:i4>410</vt:i4>
      </vt:variant>
      <vt:variant>
        <vt:i4>0</vt:i4>
      </vt:variant>
      <vt:variant>
        <vt:i4>5</vt:i4>
      </vt:variant>
      <vt:variant>
        <vt:lpwstr/>
      </vt:variant>
      <vt:variant>
        <vt:lpwstr>_Toc347401304</vt:lpwstr>
      </vt:variant>
      <vt:variant>
        <vt:i4>1441847</vt:i4>
      </vt:variant>
      <vt:variant>
        <vt:i4>404</vt:i4>
      </vt:variant>
      <vt:variant>
        <vt:i4>0</vt:i4>
      </vt:variant>
      <vt:variant>
        <vt:i4>5</vt:i4>
      </vt:variant>
      <vt:variant>
        <vt:lpwstr/>
      </vt:variant>
      <vt:variant>
        <vt:lpwstr>_Toc347401303</vt:lpwstr>
      </vt:variant>
      <vt:variant>
        <vt:i4>1441847</vt:i4>
      </vt:variant>
      <vt:variant>
        <vt:i4>398</vt:i4>
      </vt:variant>
      <vt:variant>
        <vt:i4>0</vt:i4>
      </vt:variant>
      <vt:variant>
        <vt:i4>5</vt:i4>
      </vt:variant>
      <vt:variant>
        <vt:lpwstr/>
      </vt:variant>
      <vt:variant>
        <vt:lpwstr>_Toc347401302</vt:lpwstr>
      </vt:variant>
      <vt:variant>
        <vt:i4>1441847</vt:i4>
      </vt:variant>
      <vt:variant>
        <vt:i4>392</vt:i4>
      </vt:variant>
      <vt:variant>
        <vt:i4>0</vt:i4>
      </vt:variant>
      <vt:variant>
        <vt:i4>5</vt:i4>
      </vt:variant>
      <vt:variant>
        <vt:lpwstr/>
      </vt:variant>
      <vt:variant>
        <vt:lpwstr>_Toc347401301</vt:lpwstr>
      </vt:variant>
      <vt:variant>
        <vt:i4>1441847</vt:i4>
      </vt:variant>
      <vt:variant>
        <vt:i4>386</vt:i4>
      </vt:variant>
      <vt:variant>
        <vt:i4>0</vt:i4>
      </vt:variant>
      <vt:variant>
        <vt:i4>5</vt:i4>
      </vt:variant>
      <vt:variant>
        <vt:lpwstr/>
      </vt:variant>
      <vt:variant>
        <vt:lpwstr>_Toc347401300</vt:lpwstr>
      </vt:variant>
      <vt:variant>
        <vt:i4>2031670</vt:i4>
      </vt:variant>
      <vt:variant>
        <vt:i4>380</vt:i4>
      </vt:variant>
      <vt:variant>
        <vt:i4>0</vt:i4>
      </vt:variant>
      <vt:variant>
        <vt:i4>5</vt:i4>
      </vt:variant>
      <vt:variant>
        <vt:lpwstr/>
      </vt:variant>
      <vt:variant>
        <vt:lpwstr>_Toc347401299</vt:lpwstr>
      </vt:variant>
      <vt:variant>
        <vt:i4>2031670</vt:i4>
      </vt:variant>
      <vt:variant>
        <vt:i4>374</vt:i4>
      </vt:variant>
      <vt:variant>
        <vt:i4>0</vt:i4>
      </vt:variant>
      <vt:variant>
        <vt:i4>5</vt:i4>
      </vt:variant>
      <vt:variant>
        <vt:lpwstr/>
      </vt:variant>
      <vt:variant>
        <vt:lpwstr>_Toc347401298</vt:lpwstr>
      </vt:variant>
      <vt:variant>
        <vt:i4>2031670</vt:i4>
      </vt:variant>
      <vt:variant>
        <vt:i4>368</vt:i4>
      </vt:variant>
      <vt:variant>
        <vt:i4>0</vt:i4>
      </vt:variant>
      <vt:variant>
        <vt:i4>5</vt:i4>
      </vt:variant>
      <vt:variant>
        <vt:lpwstr/>
      </vt:variant>
      <vt:variant>
        <vt:lpwstr>_Toc347401297</vt:lpwstr>
      </vt:variant>
      <vt:variant>
        <vt:i4>2031670</vt:i4>
      </vt:variant>
      <vt:variant>
        <vt:i4>362</vt:i4>
      </vt:variant>
      <vt:variant>
        <vt:i4>0</vt:i4>
      </vt:variant>
      <vt:variant>
        <vt:i4>5</vt:i4>
      </vt:variant>
      <vt:variant>
        <vt:lpwstr/>
      </vt:variant>
      <vt:variant>
        <vt:lpwstr>_Toc347401296</vt:lpwstr>
      </vt:variant>
      <vt:variant>
        <vt:i4>2031670</vt:i4>
      </vt:variant>
      <vt:variant>
        <vt:i4>356</vt:i4>
      </vt:variant>
      <vt:variant>
        <vt:i4>0</vt:i4>
      </vt:variant>
      <vt:variant>
        <vt:i4>5</vt:i4>
      </vt:variant>
      <vt:variant>
        <vt:lpwstr/>
      </vt:variant>
      <vt:variant>
        <vt:lpwstr>_Toc347401295</vt:lpwstr>
      </vt:variant>
      <vt:variant>
        <vt:i4>2031670</vt:i4>
      </vt:variant>
      <vt:variant>
        <vt:i4>350</vt:i4>
      </vt:variant>
      <vt:variant>
        <vt:i4>0</vt:i4>
      </vt:variant>
      <vt:variant>
        <vt:i4>5</vt:i4>
      </vt:variant>
      <vt:variant>
        <vt:lpwstr/>
      </vt:variant>
      <vt:variant>
        <vt:lpwstr>_Toc347401294</vt:lpwstr>
      </vt:variant>
      <vt:variant>
        <vt:i4>2031670</vt:i4>
      </vt:variant>
      <vt:variant>
        <vt:i4>344</vt:i4>
      </vt:variant>
      <vt:variant>
        <vt:i4>0</vt:i4>
      </vt:variant>
      <vt:variant>
        <vt:i4>5</vt:i4>
      </vt:variant>
      <vt:variant>
        <vt:lpwstr/>
      </vt:variant>
      <vt:variant>
        <vt:lpwstr>_Toc347401293</vt:lpwstr>
      </vt:variant>
      <vt:variant>
        <vt:i4>2031670</vt:i4>
      </vt:variant>
      <vt:variant>
        <vt:i4>338</vt:i4>
      </vt:variant>
      <vt:variant>
        <vt:i4>0</vt:i4>
      </vt:variant>
      <vt:variant>
        <vt:i4>5</vt:i4>
      </vt:variant>
      <vt:variant>
        <vt:lpwstr/>
      </vt:variant>
      <vt:variant>
        <vt:lpwstr>_Toc347401292</vt:lpwstr>
      </vt:variant>
      <vt:variant>
        <vt:i4>2031670</vt:i4>
      </vt:variant>
      <vt:variant>
        <vt:i4>332</vt:i4>
      </vt:variant>
      <vt:variant>
        <vt:i4>0</vt:i4>
      </vt:variant>
      <vt:variant>
        <vt:i4>5</vt:i4>
      </vt:variant>
      <vt:variant>
        <vt:lpwstr/>
      </vt:variant>
      <vt:variant>
        <vt:lpwstr>_Toc347401291</vt:lpwstr>
      </vt:variant>
      <vt:variant>
        <vt:i4>2031670</vt:i4>
      </vt:variant>
      <vt:variant>
        <vt:i4>326</vt:i4>
      </vt:variant>
      <vt:variant>
        <vt:i4>0</vt:i4>
      </vt:variant>
      <vt:variant>
        <vt:i4>5</vt:i4>
      </vt:variant>
      <vt:variant>
        <vt:lpwstr/>
      </vt:variant>
      <vt:variant>
        <vt:lpwstr>_Toc347401290</vt:lpwstr>
      </vt:variant>
      <vt:variant>
        <vt:i4>1966134</vt:i4>
      </vt:variant>
      <vt:variant>
        <vt:i4>320</vt:i4>
      </vt:variant>
      <vt:variant>
        <vt:i4>0</vt:i4>
      </vt:variant>
      <vt:variant>
        <vt:i4>5</vt:i4>
      </vt:variant>
      <vt:variant>
        <vt:lpwstr/>
      </vt:variant>
      <vt:variant>
        <vt:lpwstr>_Toc347401289</vt:lpwstr>
      </vt:variant>
      <vt:variant>
        <vt:i4>1966134</vt:i4>
      </vt:variant>
      <vt:variant>
        <vt:i4>314</vt:i4>
      </vt:variant>
      <vt:variant>
        <vt:i4>0</vt:i4>
      </vt:variant>
      <vt:variant>
        <vt:i4>5</vt:i4>
      </vt:variant>
      <vt:variant>
        <vt:lpwstr/>
      </vt:variant>
      <vt:variant>
        <vt:lpwstr>_Toc347401288</vt:lpwstr>
      </vt:variant>
      <vt:variant>
        <vt:i4>1966134</vt:i4>
      </vt:variant>
      <vt:variant>
        <vt:i4>308</vt:i4>
      </vt:variant>
      <vt:variant>
        <vt:i4>0</vt:i4>
      </vt:variant>
      <vt:variant>
        <vt:i4>5</vt:i4>
      </vt:variant>
      <vt:variant>
        <vt:lpwstr/>
      </vt:variant>
      <vt:variant>
        <vt:lpwstr>_Toc347401287</vt:lpwstr>
      </vt:variant>
      <vt:variant>
        <vt:i4>1966134</vt:i4>
      </vt:variant>
      <vt:variant>
        <vt:i4>302</vt:i4>
      </vt:variant>
      <vt:variant>
        <vt:i4>0</vt:i4>
      </vt:variant>
      <vt:variant>
        <vt:i4>5</vt:i4>
      </vt:variant>
      <vt:variant>
        <vt:lpwstr/>
      </vt:variant>
      <vt:variant>
        <vt:lpwstr>_Toc347401286</vt:lpwstr>
      </vt:variant>
      <vt:variant>
        <vt:i4>1966134</vt:i4>
      </vt:variant>
      <vt:variant>
        <vt:i4>296</vt:i4>
      </vt:variant>
      <vt:variant>
        <vt:i4>0</vt:i4>
      </vt:variant>
      <vt:variant>
        <vt:i4>5</vt:i4>
      </vt:variant>
      <vt:variant>
        <vt:lpwstr/>
      </vt:variant>
      <vt:variant>
        <vt:lpwstr>_Toc347401285</vt:lpwstr>
      </vt:variant>
      <vt:variant>
        <vt:i4>1966134</vt:i4>
      </vt:variant>
      <vt:variant>
        <vt:i4>290</vt:i4>
      </vt:variant>
      <vt:variant>
        <vt:i4>0</vt:i4>
      </vt:variant>
      <vt:variant>
        <vt:i4>5</vt:i4>
      </vt:variant>
      <vt:variant>
        <vt:lpwstr/>
      </vt:variant>
      <vt:variant>
        <vt:lpwstr>_Toc347401284</vt:lpwstr>
      </vt:variant>
      <vt:variant>
        <vt:i4>1966134</vt:i4>
      </vt:variant>
      <vt:variant>
        <vt:i4>284</vt:i4>
      </vt:variant>
      <vt:variant>
        <vt:i4>0</vt:i4>
      </vt:variant>
      <vt:variant>
        <vt:i4>5</vt:i4>
      </vt:variant>
      <vt:variant>
        <vt:lpwstr/>
      </vt:variant>
      <vt:variant>
        <vt:lpwstr>_Toc347401283</vt:lpwstr>
      </vt:variant>
      <vt:variant>
        <vt:i4>1966134</vt:i4>
      </vt:variant>
      <vt:variant>
        <vt:i4>278</vt:i4>
      </vt:variant>
      <vt:variant>
        <vt:i4>0</vt:i4>
      </vt:variant>
      <vt:variant>
        <vt:i4>5</vt:i4>
      </vt:variant>
      <vt:variant>
        <vt:lpwstr/>
      </vt:variant>
      <vt:variant>
        <vt:lpwstr>_Toc347401282</vt:lpwstr>
      </vt:variant>
      <vt:variant>
        <vt:i4>1966134</vt:i4>
      </vt:variant>
      <vt:variant>
        <vt:i4>272</vt:i4>
      </vt:variant>
      <vt:variant>
        <vt:i4>0</vt:i4>
      </vt:variant>
      <vt:variant>
        <vt:i4>5</vt:i4>
      </vt:variant>
      <vt:variant>
        <vt:lpwstr/>
      </vt:variant>
      <vt:variant>
        <vt:lpwstr>_Toc347401281</vt:lpwstr>
      </vt:variant>
      <vt:variant>
        <vt:i4>1966134</vt:i4>
      </vt:variant>
      <vt:variant>
        <vt:i4>266</vt:i4>
      </vt:variant>
      <vt:variant>
        <vt:i4>0</vt:i4>
      </vt:variant>
      <vt:variant>
        <vt:i4>5</vt:i4>
      </vt:variant>
      <vt:variant>
        <vt:lpwstr/>
      </vt:variant>
      <vt:variant>
        <vt:lpwstr>_Toc347401280</vt:lpwstr>
      </vt:variant>
      <vt:variant>
        <vt:i4>1114166</vt:i4>
      </vt:variant>
      <vt:variant>
        <vt:i4>260</vt:i4>
      </vt:variant>
      <vt:variant>
        <vt:i4>0</vt:i4>
      </vt:variant>
      <vt:variant>
        <vt:i4>5</vt:i4>
      </vt:variant>
      <vt:variant>
        <vt:lpwstr/>
      </vt:variant>
      <vt:variant>
        <vt:lpwstr>_Toc347401279</vt:lpwstr>
      </vt:variant>
      <vt:variant>
        <vt:i4>1114166</vt:i4>
      </vt:variant>
      <vt:variant>
        <vt:i4>254</vt:i4>
      </vt:variant>
      <vt:variant>
        <vt:i4>0</vt:i4>
      </vt:variant>
      <vt:variant>
        <vt:i4>5</vt:i4>
      </vt:variant>
      <vt:variant>
        <vt:lpwstr/>
      </vt:variant>
      <vt:variant>
        <vt:lpwstr>_Toc347401278</vt:lpwstr>
      </vt:variant>
      <vt:variant>
        <vt:i4>1114166</vt:i4>
      </vt:variant>
      <vt:variant>
        <vt:i4>248</vt:i4>
      </vt:variant>
      <vt:variant>
        <vt:i4>0</vt:i4>
      </vt:variant>
      <vt:variant>
        <vt:i4>5</vt:i4>
      </vt:variant>
      <vt:variant>
        <vt:lpwstr/>
      </vt:variant>
      <vt:variant>
        <vt:lpwstr>_Toc347401277</vt:lpwstr>
      </vt:variant>
      <vt:variant>
        <vt:i4>1114166</vt:i4>
      </vt:variant>
      <vt:variant>
        <vt:i4>242</vt:i4>
      </vt:variant>
      <vt:variant>
        <vt:i4>0</vt:i4>
      </vt:variant>
      <vt:variant>
        <vt:i4>5</vt:i4>
      </vt:variant>
      <vt:variant>
        <vt:lpwstr/>
      </vt:variant>
      <vt:variant>
        <vt:lpwstr>_Toc347401276</vt:lpwstr>
      </vt:variant>
      <vt:variant>
        <vt:i4>1114166</vt:i4>
      </vt:variant>
      <vt:variant>
        <vt:i4>236</vt:i4>
      </vt:variant>
      <vt:variant>
        <vt:i4>0</vt:i4>
      </vt:variant>
      <vt:variant>
        <vt:i4>5</vt:i4>
      </vt:variant>
      <vt:variant>
        <vt:lpwstr/>
      </vt:variant>
      <vt:variant>
        <vt:lpwstr>_Toc347401275</vt:lpwstr>
      </vt:variant>
      <vt:variant>
        <vt:i4>1114166</vt:i4>
      </vt:variant>
      <vt:variant>
        <vt:i4>230</vt:i4>
      </vt:variant>
      <vt:variant>
        <vt:i4>0</vt:i4>
      </vt:variant>
      <vt:variant>
        <vt:i4>5</vt:i4>
      </vt:variant>
      <vt:variant>
        <vt:lpwstr/>
      </vt:variant>
      <vt:variant>
        <vt:lpwstr>_Toc347401274</vt:lpwstr>
      </vt:variant>
      <vt:variant>
        <vt:i4>1114166</vt:i4>
      </vt:variant>
      <vt:variant>
        <vt:i4>224</vt:i4>
      </vt:variant>
      <vt:variant>
        <vt:i4>0</vt:i4>
      </vt:variant>
      <vt:variant>
        <vt:i4>5</vt:i4>
      </vt:variant>
      <vt:variant>
        <vt:lpwstr/>
      </vt:variant>
      <vt:variant>
        <vt:lpwstr>_Toc347401273</vt:lpwstr>
      </vt:variant>
      <vt:variant>
        <vt:i4>1114166</vt:i4>
      </vt:variant>
      <vt:variant>
        <vt:i4>218</vt:i4>
      </vt:variant>
      <vt:variant>
        <vt:i4>0</vt:i4>
      </vt:variant>
      <vt:variant>
        <vt:i4>5</vt:i4>
      </vt:variant>
      <vt:variant>
        <vt:lpwstr/>
      </vt:variant>
      <vt:variant>
        <vt:lpwstr>_Toc347401272</vt:lpwstr>
      </vt:variant>
      <vt:variant>
        <vt:i4>1114166</vt:i4>
      </vt:variant>
      <vt:variant>
        <vt:i4>212</vt:i4>
      </vt:variant>
      <vt:variant>
        <vt:i4>0</vt:i4>
      </vt:variant>
      <vt:variant>
        <vt:i4>5</vt:i4>
      </vt:variant>
      <vt:variant>
        <vt:lpwstr/>
      </vt:variant>
      <vt:variant>
        <vt:lpwstr>_Toc347401271</vt:lpwstr>
      </vt:variant>
      <vt:variant>
        <vt:i4>1114166</vt:i4>
      </vt:variant>
      <vt:variant>
        <vt:i4>206</vt:i4>
      </vt:variant>
      <vt:variant>
        <vt:i4>0</vt:i4>
      </vt:variant>
      <vt:variant>
        <vt:i4>5</vt:i4>
      </vt:variant>
      <vt:variant>
        <vt:lpwstr/>
      </vt:variant>
      <vt:variant>
        <vt:lpwstr>_Toc347401270</vt:lpwstr>
      </vt:variant>
      <vt:variant>
        <vt:i4>1048630</vt:i4>
      </vt:variant>
      <vt:variant>
        <vt:i4>200</vt:i4>
      </vt:variant>
      <vt:variant>
        <vt:i4>0</vt:i4>
      </vt:variant>
      <vt:variant>
        <vt:i4>5</vt:i4>
      </vt:variant>
      <vt:variant>
        <vt:lpwstr/>
      </vt:variant>
      <vt:variant>
        <vt:lpwstr>_Toc347401269</vt:lpwstr>
      </vt:variant>
      <vt:variant>
        <vt:i4>1048630</vt:i4>
      </vt:variant>
      <vt:variant>
        <vt:i4>194</vt:i4>
      </vt:variant>
      <vt:variant>
        <vt:i4>0</vt:i4>
      </vt:variant>
      <vt:variant>
        <vt:i4>5</vt:i4>
      </vt:variant>
      <vt:variant>
        <vt:lpwstr/>
      </vt:variant>
      <vt:variant>
        <vt:lpwstr>_Toc347401268</vt:lpwstr>
      </vt:variant>
      <vt:variant>
        <vt:i4>1048630</vt:i4>
      </vt:variant>
      <vt:variant>
        <vt:i4>188</vt:i4>
      </vt:variant>
      <vt:variant>
        <vt:i4>0</vt:i4>
      </vt:variant>
      <vt:variant>
        <vt:i4>5</vt:i4>
      </vt:variant>
      <vt:variant>
        <vt:lpwstr/>
      </vt:variant>
      <vt:variant>
        <vt:lpwstr>_Toc347401267</vt:lpwstr>
      </vt:variant>
      <vt:variant>
        <vt:i4>1048630</vt:i4>
      </vt:variant>
      <vt:variant>
        <vt:i4>182</vt:i4>
      </vt:variant>
      <vt:variant>
        <vt:i4>0</vt:i4>
      </vt:variant>
      <vt:variant>
        <vt:i4>5</vt:i4>
      </vt:variant>
      <vt:variant>
        <vt:lpwstr/>
      </vt:variant>
      <vt:variant>
        <vt:lpwstr>_Toc347401266</vt:lpwstr>
      </vt:variant>
      <vt:variant>
        <vt:i4>1048630</vt:i4>
      </vt:variant>
      <vt:variant>
        <vt:i4>176</vt:i4>
      </vt:variant>
      <vt:variant>
        <vt:i4>0</vt:i4>
      </vt:variant>
      <vt:variant>
        <vt:i4>5</vt:i4>
      </vt:variant>
      <vt:variant>
        <vt:lpwstr/>
      </vt:variant>
      <vt:variant>
        <vt:lpwstr>_Toc347401265</vt:lpwstr>
      </vt:variant>
      <vt:variant>
        <vt:i4>1048630</vt:i4>
      </vt:variant>
      <vt:variant>
        <vt:i4>170</vt:i4>
      </vt:variant>
      <vt:variant>
        <vt:i4>0</vt:i4>
      </vt:variant>
      <vt:variant>
        <vt:i4>5</vt:i4>
      </vt:variant>
      <vt:variant>
        <vt:lpwstr/>
      </vt:variant>
      <vt:variant>
        <vt:lpwstr>_Toc347401264</vt:lpwstr>
      </vt:variant>
      <vt:variant>
        <vt:i4>1048630</vt:i4>
      </vt:variant>
      <vt:variant>
        <vt:i4>164</vt:i4>
      </vt:variant>
      <vt:variant>
        <vt:i4>0</vt:i4>
      </vt:variant>
      <vt:variant>
        <vt:i4>5</vt:i4>
      </vt:variant>
      <vt:variant>
        <vt:lpwstr/>
      </vt:variant>
      <vt:variant>
        <vt:lpwstr>_Toc347401263</vt:lpwstr>
      </vt:variant>
      <vt:variant>
        <vt:i4>1048630</vt:i4>
      </vt:variant>
      <vt:variant>
        <vt:i4>158</vt:i4>
      </vt:variant>
      <vt:variant>
        <vt:i4>0</vt:i4>
      </vt:variant>
      <vt:variant>
        <vt:i4>5</vt:i4>
      </vt:variant>
      <vt:variant>
        <vt:lpwstr/>
      </vt:variant>
      <vt:variant>
        <vt:lpwstr>_Toc347401262</vt:lpwstr>
      </vt:variant>
      <vt:variant>
        <vt:i4>1048630</vt:i4>
      </vt:variant>
      <vt:variant>
        <vt:i4>152</vt:i4>
      </vt:variant>
      <vt:variant>
        <vt:i4>0</vt:i4>
      </vt:variant>
      <vt:variant>
        <vt:i4>5</vt:i4>
      </vt:variant>
      <vt:variant>
        <vt:lpwstr/>
      </vt:variant>
      <vt:variant>
        <vt:lpwstr>_Toc347401261</vt:lpwstr>
      </vt:variant>
      <vt:variant>
        <vt:i4>1048630</vt:i4>
      </vt:variant>
      <vt:variant>
        <vt:i4>146</vt:i4>
      </vt:variant>
      <vt:variant>
        <vt:i4>0</vt:i4>
      </vt:variant>
      <vt:variant>
        <vt:i4>5</vt:i4>
      </vt:variant>
      <vt:variant>
        <vt:lpwstr/>
      </vt:variant>
      <vt:variant>
        <vt:lpwstr>_Toc347401260</vt:lpwstr>
      </vt:variant>
      <vt:variant>
        <vt:i4>1245238</vt:i4>
      </vt:variant>
      <vt:variant>
        <vt:i4>140</vt:i4>
      </vt:variant>
      <vt:variant>
        <vt:i4>0</vt:i4>
      </vt:variant>
      <vt:variant>
        <vt:i4>5</vt:i4>
      </vt:variant>
      <vt:variant>
        <vt:lpwstr/>
      </vt:variant>
      <vt:variant>
        <vt:lpwstr>_Toc347401259</vt:lpwstr>
      </vt:variant>
      <vt:variant>
        <vt:i4>1245238</vt:i4>
      </vt:variant>
      <vt:variant>
        <vt:i4>134</vt:i4>
      </vt:variant>
      <vt:variant>
        <vt:i4>0</vt:i4>
      </vt:variant>
      <vt:variant>
        <vt:i4>5</vt:i4>
      </vt:variant>
      <vt:variant>
        <vt:lpwstr/>
      </vt:variant>
      <vt:variant>
        <vt:lpwstr>_Toc347401258</vt:lpwstr>
      </vt:variant>
      <vt:variant>
        <vt:i4>1245238</vt:i4>
      </vt:variant>
      <vt:variant>
        <vt:i4>128</vt:i4>
      </vt:variant>
      <vt:variant>
        <vt:i4>0</vt:i4>
      </vt:variant>
      <vt:variant>
        <vt:i4>5</vt:i4>
      </vt:variant>
      <vt:variant>
        <vt:lpwstr/>
      </vt:variant>
      <vt:variant>
        <vt:lpwstr>_Toc347401257</vt:lpwstr>
      </vt:variant>
      <vt:variant>
        <vt:i4>1245238</vt:i4>
      </vt:variant>
      <vt:variant>
        <vt:i4>122</vt:i4>
      </vt:variant>
      <vt:variant>
        <vt:i4>0</vt:i4>
      </vt:variant>
      <vt:variant>
        <vt:i4>5</vt:i4>
      </vt:variant>
      <vt:variant>
        <vt:lpwstr/>
      </vt:variant>
      <vt:variant>
        <vt:lpwstr>_Toc347401256</vt:lpwstr>
      </vt:variant>
      <vt:variant>
        <vt:i4>1245238</vt:i4>
      </vt:variant>
      <vt:variant>
        <vt:i4>116</vt:i4>
      </vt:variant>
      <vt:variant>
        <vt:i4>0</vt:i4>
      </vt:variant>
      <vt:variant>
        <vt:i4>5</vt:i4>
      </vt:variant>
      <vt:variant>
        <vt:lpwstr/>
      </vt:variant>
      <vt:variant>
        <vt:lpwstr>_Toc347401255</vt:lpwstr>
      </vt:variant>
      <vt:variant>
        <vt:i4>1245238</vt:i4>
      </vt:variant>
      <vt:variant>
        <vt:i4>110</vt:i4>
      </vt:variant>
      <vt:variant>
        <vt:i4>0</vt:i4>
      </vt:variant>
      <vt:variant>
        <vt:i4>5</vt:i4>
      </vt:variant>
      <vt:variant>
        <vt:lpwstr/>
      </vt:variant>
      <vt:variant>
        <vt:lpwstr>_Toc347401254</vt:lpwstr>
      </vt:variant>
      <vt:variant>
        <vt:i4>1245238</vt:i4>
      </vt:variant>
      <vt:variant>
        <vt:i4>104</vt:i4>
      </vt:variant>
      <vt:variant>
        <vt:i4>0</vt:i4>
      </vt:variant>
      <vt:variant>
        <vt:i4>5</vt:i4>
      </vt:variant>
      <vt:variant>
        <vt:lpwstr/>
      </vt:variant>
      <vt:variant>
        <vt:lpwstr>_Toc347401253</vt:lpwstr>
      </vt:variant>
      <vt:variant>
        <vt:i4>1245238</vt:i4>
      </vt:variant>
      <vt:variant>
        <vt:i4>98</vt:i4>
      </vt:variant>
      <vt:variant>
        <vt:i4>0</vt:i4>
      </vt:variant>
      <vt:variant>
        <vt:i4>5</vt:i4>
      </vt:variant>
      <vt:variant>
        <vt:lpwstr/>
      </vt:variant>
      <vt:variant>
        <vt:lpwstr>_Toc347401252</vt:lpwstr>
      </vt:variant>
      <vt:variant>
        <vt:i4>1245238</vt:i4>
      </vt:variant>
      <vt:variant>
        <vt:i4>92</vt:i4>
      </vt:variant>
      <vt:variant>
        <vt:i4>0</vt:i4>
      </vt:variant>
      <vt:variant>
        <vt:i4>5</vt:i4>
      </vt:variant>
      <vt:variant>
        <vt:lpwstr/>
      </vt:variant>
      <vt:variant>
        <vt:lpwstr>_Toc347401251</vt:lpwstr>
      </vt:variant>
      <vt:variant>
        <vt:i4>1245238</vt:i4>
      </vt:variant>
      <vt:variant>
        <vt:i4>86</vt:i4>
      </vt:variant>
      <vt:variant>
        <vt:i4>0</vt:i4>
      </vt:variant>
      <vt:variant>
        <vt:i4>5</vt:i4>
      </vt:variant>
      <vt:variant>
        <vt:lpwstr/>
      </vt:variant>
      <vt:variant>
        <vt:lpwstr>_Toc347401250</vt:lpwstr>
      </vt:variant>
      <vt:variant>
        <vt:i4>1179702</vt:i4>
      </vt:variant>
      <vt:variant>
        <vt:i4>80</vt:i4>
      </vt:variant>
      <vt:variant>
        <vt:i4>0</vt:i4>
      </vt:variant>
      <vt:variant>
        <vt:i4>5</vt:i4>
      </vt:variant>
      <vt:variant>
        <vt:lpwstr/>
      </vt:variant>
      <vt:variant>
        <vt:lpwstr>_Toc347401249</vt:lpwstr>
      </vt:variant>
      <vt:variant>
        <vt:i4>1179702</vt:i4>
      </vt:variant>
      <vt:variant>
        <vt:i4>74</vt:i4>
      </vt:variant>
      <vt:variant>
        <vt:i4>0</vt:i4>
      </vt:variant>
      <vt:variant>
        <vt:i4>5</vt:i4>
      </vt:variant>
      <vt:variant>
        <vt:lpwstr/>
      </vt:variant>
      <vt:variant>
        <vt:lpwstr>_Toc347401248</vt:lpwstr>
      </vt:variant>
      <vt:variant>
        <vt:i4>1179702</vt:i4>
      </vt:variant>
      <vt:variant>
        <vt:i4>68</vt:i4>
      </vt:variant>
      <vt:variant>
        <vt:i4>0</vt:i4>
      </vt:variant>
      <vt:variant>
        <vt:i4>5</vt:i4>
      </vt:variant>
      <vt:variant>
        <vt:lpwstr/>
      </vt:variant>
      <vt:variant>
        <vt:lpwstr>_Toc347401247</vt:lpwstr>
      </vt:variant>
      <vt:variant>
        <vt:i4>1179702</vt:i4>
      </vt:variant>
      <vt:variant>
        <vt:i4>62</vt:i4>
      </vt:variant>
      <vt:variant>
        <vt:i4>0</vt:i4>
      </vt:variant>
      <vt:variant>
        <vt:i4>5</vt:i4>
      </vt:variant>
      <vt:variant>
        <vt:lpwstr/>
      </vt:variant>
      <vt:variant>
        <vt:lpwstr>_Toc347401246</vt:lpwstr>
      </vt:variant>
      <vt:variant>
        <vt:i4>1179702</vt:i4>
      </vt:variant>
      <vt:variant>
        <vt:i4>56</vt:i4>
      </vt:variant>
      <vt:variant>
        <vt:i4>0</vt:i4>
      </vt:variant>
      <vt:variant>
        <vt:i4>5</vt:i4>
      </vt:variant>
      <vt:variant>
        <vt:lpwstr/>
      </vt:variant>
      <vt:variant>
        <vt:lpwstr>_Toc347401245</vt:lpwstr>
      </vt:variant>
      <vt:variant>
        <vt:i4>1179702</vt:i4>
      </vt:variant>
      <vt:variant>
        <vt:i4>50</vt:i4>
      </vt:variant>
      <vt:variant>
        <vt:i4>0</vt:i4>
      </vt:variant>
      <vt:variant>
        <vt:i4>5</vt:i4>
      </vt:variant>
      <vt:variant>
        <vt:lpwstr/>
      </vt:variant>
      <vt:variant>
        <vt:lpwstr>_Toc347401244</vt:lpwstr>
      </vt:variant>
      <vt:variant>
        <vt:i4>1179702</vt:i4>
      </vt:variant>
      <vt:variant>
        <vt:i4>44</vt:i4>
      </vt:variant>
      <vt:variant>
        <vt:i4>0</vt:i4>
      </vt:variant>
      <vt:variant>
        <vt:i4>5</vt:i4>
      </vt:variant>
      <vt:variant>
        <vt:lpwstr/>
      </vt:variant>
      <vt:variant>
        <vt:lpwstr>_Toc347401243</vt:lpwstr>
      </vt:variant>
      <vt:variant>
        <vt:i4>1179702</vt:i4>
      </vt:variant>
      <vt:variant>
        <vt:i4>38</vt:i4>
      </vt:variant>
      <vt:variant>
        <vt:i4>0</vt:i4>
      </vt:variant>
      <vt:variant>
        <vt:i4>5</vt:i4>
      </vt:variant>
      <vt:variant>
        <vt:lpwstr/>
      </vt:variant>
      <vt:variant>
        <vt:lpwstr>_Toc347401242</vt:lpwstr>
      </vt:variant>
      <vt:variant>
        <vt:i4>1179702</vt:i4>
      </vt:variant>
      <vt:variant>
        <vt:i4>32</vt:i4>
      </vt:variant>
      <vt:variant>
        <vt:i4>0</vt:i4>
      </vt:variant>
      <vt:variant>
        <vt:i4>5</vt:i4>
      </vt:variant>
      <vt:variant>
        <vt:lpwstr/>
      </vt:variant>
      <vt:variant>
        <vt:lpwstr>_Toc347401241</vt:lpwstr>
      </vt:variant>
      <vt:variant>
        <vt:i4>1179702</vt:i4>
      </vt:variant>
      <vt:variant>
        <vt:i4>26</vt:i4>
      </vt:variant>
      <vt:variant>
        <vt:i4>0</vt:i4>
      </vt:variant>
      <vt:variant>
        <vt:i4>5</vt:i4>
      </vt:variant>
      <vt:variant>
        <vt:lpwstr/>
      </vt:variant>
      <vt:variant>
        <vt:lpwstr>_Toc347401240</vt:lpwstr>
      </vt:variant>
      <vt:variant>
        <vt:i4>1376310</vt:i4>
      </vt:variant>
      <vt:variant>
        <vt:i4>20</vt:i4>
      </vt:variant>
      <vt:variant>
        <vt:i4>0</vt:i4>
      </vt:variant>
      <vt:variant>
        <vt:i4>5</vt:i4>
      </vt:variant>
      <vt:variant>
        <vt:lpwstr/>
      </vt:variant>
      <vt:variant>
        <vt:lpwstr>_Toc347401239</vt:lpwstr>
      </vt:variant>
      <vt:variant>
        <vt:i4>1376310</vt:i4>
      </vt:variant>
      <vt:variant>
        <vt:i4>14</vt:i4>
      </vt:variant>
      <vt:variant>
        <vt:i4>0</vt:i4>
      </vt:variant>
      <vt:variant>
        <vt:i4>5</vt:i4>
      </vt:variant>
      <vt:variant>
        <vt:lpwstr/>
      </vt:variant>
      <vt:variant>
        <vt:lpwstr>_Toc347401238</vt:lpwstr>
      </vt:variant>
      <vt:variant>
        <vt:i4>1376310</vt:i4>
      </vt:variant>
      <vt:variant>
        <vt:i4>8</vt:i4>
      </vt:variant>
      <vt:variant>
        <vt:i4>0</vt:i4>
      </vt:variant>
      <vt:variant>
        <vt:i4>5</vt:i4>
      </vt:variant>
      <vt:variant>
        <vt:lpwstr/>
      </vt:variant>
      <vt:variant>
        <vt:lpwstr>_Toc347401237</vt:lpwstr>
      </vt:variant>
      <vt:variant>
        <vt:i4>1376310</vt:i4>
      </vt:variant>
      <vt:variant>
        <vt:i4>2</vt:i4>
      </vt:variant>
      <vt:variant>
        <vt:i4>0</vt:i4>
      </vt:variant>
      <vt:variant>
        <vt:i4>5</vt:i4>
      </vt:variant>
      <vt:variant>
        <vt:lpwstr/>
      </vt:variant>
      <vt:variant>
        <vt:lpwstr>_Toc347401236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Goa ARR FY 14</dc:title>
  <dc:creator>SG</dc:creator>
  <cp:lastModifiedBy>abc</cp:lastModifiedBy>
  <cp:revision>4</cp:revision>
  <cp:lastPrinted>2018-09-14T05:55:00Z</cp:lastPrinted>
  <dcterms:created xsi:type="dcterms:W3CDTF">2018-09-14T05:53:00Z</dcterms:created>
  <dcterms:modified xsi:type="dcterms:W3CDTF">2018-09-14T05:55:00Z</dcterms:modified>
</cp:coreProperties>
</file>